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3E" w:rsidRPr="00522E5C" w:rsidRDefault="00A71367" w:rsidP="00B42314">
      <w:pPr>
        <w:spacing w:after="0" w:line="240" w:lineRule="auto"/>
        <w:rPr>
          <w:rFonts w:cstheme="minorHAnsi"/>
          <w:sz w:val="20"/>
        </w:rPr>
      </w:pPr>
      <w:r w:rsidRPr="00BA773E">
        <w:rPr>
          <w:rFonts w:cstheme="minorHAnsi"/>
          <w:b/>
          <w:bCs/>
          <w:color w:val="000000"/>
          <w:sz w:val="36"/>
          <w:szCs w:val="36"/>
        </w:rPr>
        <w:t>Iowa Property Tax R</w:t>
      </w:r>
      <w:bookmarkStart w:id="0" w:name="_GoBack"/>
      <w:bookmarkEnd w:id="0"/>
      <w:r w:rsidRPr="00BA773E">
        <w:rPr>
          <w:rFonts w:cstheme="minorHAnsi"/>
          <w:b/>
          <w:bCs/>
          <w:color w:val="000000"/>
          <w:sz w:val="36"/>
          <w:szCs w:val="36"/>
        </w:rPr>
        <w:t>eform Act of 2025</w:t>
      </w:r>
      <w:r w:rsidR="0064401E">
        <w:rPr>
          <w:rFonts w:cstheme="minorHAnsi"/>
          <w:b/>
          <w:bCs/>
          <w:color w:val="000000"/>
          <w:sz w:val="36"/>
          <w:szCs w:val="36"/>
        </w:rPr>
        <w:t xml:space="preserve"> </w:t>
      </w:r>
      <w:hyperlink r:id="rId8" w:history="1">
        <w:r w:rsidR="0064401E" w:rsidRPr="00BA773E">
          <w:rPr>
            <w:rStyle w:val="Hyperlink"/>
            <w:rFonts w:cstheme="minorHAnsi"/>
            <w:b/>
            <w:bCs/>
            <w:color w:val="1155CC"/>
            <w:sz w:val="36"/>
            <w:szCs w:val="36"/>
          </w:rPr>
          <w:t>SSB1208</w:t>
        </w:r>
      </w:hyperlink>
      <w:r w:rsidR="0064401E" w:rsidRPr="00BA773E">
        <w:rPr>
          <w:rFonts w:cstheme="minorHAnsi"/>
          <w:b/>
          <w:bCs/>
          <w:color w:val="000000"/>
          <w:sz w:val="36"/>
          <w:szCs w:val="36"/>
        </w:rPr>
        <w:t xml:space="preserve"> &amp; </w:t>
      </w:r>
      <w:hyperlink r:id="rId9" w:history="1">
        <w:r w:rsidR="0064401E" w:rsidRPr="00BA773E">
          <w:rPr>
            <w:rStyle w:val="Hyperlink"/>
            <w:rFonts w:cstheme="minorHAnsi"/>
            <w:b/>
            <w:bCs/>
            <w:color w:val="1155CC"/>
            <w:sz w:val="36"/>
            <w:szCs w:val="36"/>
          </w:rPr>
          <w:t>HSB313</w:t>
        </w:r>
      </w:hyperlink>
      <w:r w:rsidRPr="00BA773E">
        <w:rPr>
          <w:rFonts w:cstheme="minorHAnsi"/>
          <w:b/>
          <w:bCs/>
          <w:color w:val="000000"/>
          <w:sz w:val="36"/>
          <w:szCs w:val="36"/>
        </w:rPr>
        <w:br/>
      </w:r>
      <w:r w:rsidRPr="00522E5C">
        <w:rPr>
          <w:rFonts w:cstheme="minorHAnsi"/>
          <w:i/>
          <w:iCs/>
          <w:color w:val="CC4125"/>
          <w:sz w:val="24"/>
          <w:szCs w:val="28"/>
        </w:rPr>
        <w:t>DRAFT Notes</w:t>
      </w:r>
      <w:r w:rsidR="00BA773E" w:rsidRPr="00522E5C">
        <w:rPr>
          <w:rFonts w:cstheme="minorHAnsi"/>
          <w:i/>
          <w:iCs/>
          <w:color w:val="CC4125"/>
          <w:sz w:val="24"/>
          <w:szCs w:val="28"/>
        </w:rPr>
        <w:t xml:space="preserve"> &amp; </w:t>
      </w:r>
      <w:r w:rsidRPr="00522E5C">
        <w:rPr>
          <w:rFonts w:cstheme="minorHAnsi"/>
          <w:i/>
          <w:iCs/>
          <w:color w:val="CC4125"/>
          <w:sz w:val="24"/>
          <w:szCs w:val="28"/>
        </w:rPr>
        <w:t>Analysis by ISFIS - Work in Progress</w:t>
      </w:r>
      <w:r w:rsidR="00BA773E" w:rsidRPr="00522E5C">
        <w:rPr>
          <w:rFonts w:cstheme="minorHAnsi"/>
          <w:i/>
          <w:iCs/>
          <w:color w:val="CC4125"/>
          <w:sz w:val="24"/>
          <w:szCs w:val="28"/>
        </w:rPr>
        <w:t xml:space="preserve"> 3/7/2025</w:t>
      </w:r>
    </w:p>
    <w:p w:rsidR="00B42314" w:rsidRPr="00B42314" w:rsidRDefault="00B42314" w:rsidP="00B42314">
      <w:pPr>
        <w:spacing w:after="0" w:line="240" w:lineRule="auto"/>
        <w:rPr>
          <w:rFonts w:eastAsia="Times New Roman" w:cstheme="minorHAnsi"/>
          <w:b/>
          <w:color w:val="000000"/>
          <w:sz w:val="24"/>
          <w:szCs w:val="24"/>
        </w:rPr>
      </w:pPr>
    </w:p>
    <w:p w:rsidR="00BA773E" w:rsidRPr="00BA773E" w:rsidRDefault="00BA773E" w:rsidP="00B42314">
      <w:pPr>
        <w:spacing w:after="0" w:line="240" w:lineRule="auto"/>
        <w:rPr>
          <w:rFonts w:eastAsia="Times New Roman" w:cstheme="minorHAnsi"/>
          <w:b/>
          <w:sz w:val="32"/>
          <w:szCs w:val="24"/>
        </w:rPr>
      </w:pPr>
      <w:r>
        <w:rPr>
          <w:rFonts w:eastAsia="Times New Roman" w:cstheme="minorHAnsi"/>
          <w:b/>
          <w:color w:val="000000"/>
          <w:sz w:val="32"/>
          <w:szCs w:val="24"/>
        </w:rPr>
        <w:t>Overview</w:t>
      </w:r>
    </w:p>
    <w:p w:rsidR="009B5D7A" w:rsidRPr="00487E20" w:rsidRDefault="00BA773E" w:rsidP="0035075B">
      <w:pPr>
        <w:spacing w:after="0" w:line="240" w:lineRule="auto"/>
        <w:rPr>
          <w:rFonts w:cstheme="minorHAnsi"/>
          <w:sz w:val="24"/>
          <w:szCs w:val="24"/>
        </w:rPr>
      </w:pPr>
      <w:r w:rsidRPr="00487E20">
        <w:rPr>
          <w:rFonts w:cstheme="minorHAnsi"/>
          <w:sz w:val="24"/>
          <w:szCs w:val="24"/>
        </w:rPr>
        <w:t>On Thursday, March 6, 2025</w:t>
      </w:r>
      <w:r w:rsidR="009B5D7A" w:rsidRPr="00487E20">
        <w:rPr>
          <w:rFonts w:cstheme="minorHAnsi"/>
          <w:sz w:val="24"/>
          <w:szCs w:val="24"/>
        </w:rPr>
        <w:t>, House and Senate Ways and Means Committee Chairs announced the Republican Property Tax Overhaul Plan for the 2025 Session.</w:t>
      </w:r>
      <w:r w:rsidRPr="00487E20">
        <w:rPr>
          <w:rFonts w:cstheme="minorHAnsi"/>
          <w:sz w:val="24"/>
          <w:szCs w:val="24"/>
        </w:rPr>
        <w:t xml:space="preserve"> </w:t>
      </w:r>
      <w:hyperlink r:id="rId10" w:history="1">
        <w:r w:rsidR="009B5D7A" w:rsidRPr="00487E20">
          <w:rPr>
            <w:rStyle w:val="Hyperlink"/>
            <w:rFonts w:cstheme="minorHAnsi"/>
            <w:sz w:val="24"/>
            <w:szCs w:val="24"/>
          </w:rPr>
          <w:t>The Iowa Capitol Dispatch</w:t>
        </w:r>
      </w:hyperlink>
      <w:r w:rsidR="009B5D7A" w:rsidRPr="00487E20">
        <w:rPr>
          <w:rFonts w:cstheme="minorHAnsi"/>
          <w:sz w:val="24"/>
          <w:szCs w:val="24"/>
        </w:rPr>
        <w:t xml:space="preserve"> covered the press conference</w:t>
      </w:r>
      <w:r w:rsidR="0035075B" w:rsidRPr="00487E20">
        <w:rPr>
          <w:rFonts w:cstheme="minorHAnsi"/>
          <w:sz w:val="24"/>
          <w:szCs w:val="24"/>
        </w:rPr>
        <w:t xml:space="preserve">, which explains some of the concepts. </w:t>
      </w:r>
      <w:hyperlink r:id="rId11" w:history="1">
        <w:r w:rsidR="009B5D7A" w:rsidRPr="00487E20">
          <w:rPr>
            <w:rStyle w:val="Hyperlink"/>
            <w:rFonts w:cstheme="minorHAnsi"/>
            <w:sz w:val="24"/>
            <w:szCs w:val="24"/>
          </w:rPr>
          <w:t>WHO TV news</w:t>
        </w:r>
      </w:hyperlink>
      <w:r w:rsidR="009B5D7A" w:rsidRPr="00487E20">
        <w:rPr>
          <w:rFonts w:cstheme="minorHAnsi"/>
          <w:sz w:val="24"/>
          <w:szCs w:val="24"/>
        </w:rPr>
        <w:t xml:space="preserve"> </w:t>
      </w:r>
      <w:r w:rsidR="0035075B" w:rsidRPr="00487E20">
        <w:rPr>
          <w:rFonts w:cstheme="minorHAnsi"/>
          <w:sz w:val="24"/>
          <w:szCs w:val="24"/>
        </w:rPr>
        <w:t xml:space="preserve">also </w:t>
      </w:r>
      <w:r w:rsidR="009B5D7A" w:rsidRPr="00487E20">
        <w:rPr>
          <w:rFonts w:cstheme="minorHAnsi"/>
          <w:sz w:val="24"/>
          <w:szCs w:val="24"/>
        </w:rPr>
        <w:t xml:space="preserve">reported </w:t>
      </w:r>
      <w:r w:rsidR="00884F8D" w:rsidRPr="00487E20">
        <w:rPr>
          <w:rFonts w:cstheme="minorHAnsi"/>
          <w:sz w:val="24"/>
          <w:szCs w:val="24"/>
        </w:rPr>
        <w:t xml:space="preserve">on the press conference; </w:t>
      </w:r>
      <w:r w:rsidR="00884F8D" w:rsidRPr="00487E20">
        <w:rPr>
          <w:rFonts w:cstheme="minorHAnsi"/>
          <w:color w:val="000000"/>
          <w:sz w:val="24"/>
          <w:szCs w:val="24"/>
        </w:rPr>
        <w:t>“Iowans will get a $400 million property tax cut through basically the state assuming a greater portion of school funding,” said State Senator Dan Dawson (R) District 10, from Council Bluffs.</w:t>
      </w:r>
      <w:r w:rsidRPr="00487E20">
        <w:rPr>
          <w:rFonts w:cstheme="minorHAnsi"/>
          <w:color w:val="000000"/>
          <w:sz w:val="24"/>
          <w:szCs w:val="24"/>
        </w:rPr>
        <w:t xml:space="preserve"> </w:t>
      </w:r>
      <w:r w:rsidR="00884F8D" w:rsidRPr="00487E20">
        <w:rPr>
          <w:rFonts w:cstheme="minorHAnsi"/>
          <w:color w:val="000000"/>
          <w:sz w:val="24"/>
          <w:szCs w:val="24"/>
        </w:rPr>
        <w:t xml:space="preserve">Rep. Kaufmann and Sen. Dawson said the bill was a result of years of conversations with local and city governments. There is no expectation for the bill to move forward quickly as both want the state to see the proposal, and amendments may be added. They both expect the bill to pass this session. They also reported </w:t>
      </w:r>
      <w:r w:rsidR="009B5D7A" w:rsidRPr="00487E20">
        <w:rPr>
          <w:rFonts w:cstheme="minorHAnsi"/>
          <w:color w:val="000000"/>
          <w:sz w:val="24"/>
          <w:szCs w:val="24"/>
        </w:rPr>
        <w:t>Sen. Dawson and Rep. Kaufmann will not hold subcommittees for at least two weeks, so they can get feedback from cities and counties on the impact.</w:t>
      </w:r>
      <w:r w:rsidRPr="00487E20">
        <w:rPr>
          <w:rFonts w:cstheme="minorHAnsi"/>
          <w:sz w:val="24"/>
          <w:szCs w:val="24"/>
        </w:rPr>
        <w:t xml:space="preserve"> </w:t>
      </w:r>
    </w:p>
    <w:p w:rsidR="00B42314" w:rsidRPr="00487E20" w:rsidRDefault="00B42314" w:rsidP="00B42314">
      <w:pPr>
        <w:pStyle w:val="NormalWeb"/>
        <w:shd w:val="clear" w:color="auto" w:fill="FFFFFF"/>
        <w:spacing w:before="0" w:beforeAutospacing="0" w:after="0" w:afterAutospacing="0"/>
        <w:textAlignment w:val="baseline"/>
        <w:rPr>
          <w:rFonts w:asciiTheme="minorHAnsi" w:hAnsiTheme="minorHAnsi" w:cstheme="minorHAnsi"/>
        </w:rPr>
      </w:pPr>
    </w:p>
    <w:p w:rsidR="00E7293A" w:rsidRPr="00487E20" w:rsidRDefault="00E7293A" w:rsidP="00B42314">
      <w:pPr>
        <w:pStyle w:val="NormalWeb"/>
        <w:shd w:val="clear" w:color="auto" w:fill="FFFFFF"/>
        <w:spacing w:before="0" w:beforeAutospacing="0" w:after="0" w:afterAutospacing="0"/>
        <w:textAlignment w:val="baseline"/>
        <w:rPr>
          <w:rFonts w:asciiTheme="minorHAnsi" w:hAnsiTheme="minorHAnsi" w:cstheme="minorHAnsi"/>
        </w:rPr>
      </w:pPr>
      <w:r w:rsidRPr="00487E20">
        <w:rPr>
          <w:rFonts w:asciiTheme="minorHAnsi" w:hAnsiTheme="minorHAnsi" w:cstheme="minorHAnsi"/>
        </w:rPr>
        <w:t xml:space="preserve">Our ISFIS team has prepared the following </w:t>
      </w:r>
      <w:r w:rsidR="00BA773E" w:rsidRPr="00487E20">
        <w:rPr>
          <w:rFonts w:asciiTheme="minorHAnsi" w:hAnsiTheme="minorHAnsi" w:cstheme="minorHAnsi"/>
        </w:rPr>
        <w:t xml:space="preserve">initial </w:t>
      </w:r>
      <w:r w:rsidRPr="00487E20">
        <w:rPr>
          <w:rFonts w:asciiTheme="minorHAnsi" w:hAnsiTheme="minorHAnsi" w:cstheme="minorHAnsi"/>
        </w:rPr>
        <w:t xml:space="preserve">bill summary by Division to help school leaders </w:t>
      </w:r>
      <w:r w:rsidR="0035075B" w:rsidRPr="00487E20">
        <w:rPr>
          <w:rFonts w:asciiTheme="minorHAnsi" w:hAnsiTheme="minorHAnsi" w:cstheme="minorHAnsi"/>
        </w:rPr>
        <w:t>get a</w:t>
      </w:r>
      <w:r w:rsidRPr="00487E20">
        <w:rPr>
          <w:rFonts w:asciiTheme="minorHAnsi" w:hAnsiTheme="minorHAnsi" w:cstheme="minorHAnsi"/>
        </w:rPr>
        <w:t xml:space="preserve"> look at the proposal.</w:t>
      </w:r>
      <w:r w:rsidR="00BA773E" w:rsidRPr="00487E20">
        <w:rPr>
          <w:rFonts w:asciiTheme="minorHAnsi" w:hAnsiTheme="minorHAnsi" w:cstheme="minorHAnsi"/>
        </w:rPr>
        <w:t xml:space="preserve"> </w:t>
      </w:r>
      <w:r w:rsidRPr="00487E20">
        <w:rPr>
          <w:rFonts w:asciiTheme="minorHAnsi" w:hAnsiTheme="minorHAnsi" w:cstheme="minorHAnsi"/>
        </w:rPr>
        <w:t>There are some mixed outcomes for cities, counties, schools and taxpayers based on the many overlapping and complicated pieces that impact each other.</w:t>
      </w:r>
      <w:r w:rsidR="00BA773E" w:rsidRPr="00487E20">
        <w:rPr>
          <w:rFonts w:asciiTheme="minorHAnsi" w:hAnsiTheme="minorHAnsi" w:cstheme="minorHAnsi"/>
        </w:rPr>
        <w:t xml:space="preserve"> </w:t>
      </w:r>
      <w:r w:rsidRPr="00487E20">
        <w:rPr>
          <w:rFonts w:asciiTheme="minorHAnsi" w:hAnsiTheme="minorHAnsi" w:cstheme="minorHAnsi"/>
        </w:rPr>
        <w:t>We will continue to analyze the impacts as the conversation progresses</w:t>
      </w:r>
      <w:r w:rsidR="0035075B" w:rsidRPr="00487E20">
        <w:rPr>
          <w:rFonts w:asciiTheme="minorHAnsi" w:hAnsiTheme="minorHAnsi" w:cstheme="minorHAnsi"/>
        </w:rPr>
        <w:t>, so stay tuned for more</w:t>
      </w:r>
      <w:r w:rsidRPr="00487E20">
        <w:rPr>
          <w:rFonts w:asciiTheme="minorHAnsi" w:hAnsiTheme="minorHAnsi" w:cstheme="minorHAnsi"/>
        </w:rPr>
        <w:t>.</w:t>
      </w:r>
    </w:p>
    <w:p w:rsidR="00B42314" w:rsidRPr="00487E20" w:rsidRDefault="00B42314" w:rsidP="00B42314">
      <w:pPr>
        <w:pStyle w:val="NormalWeb"/>
        <w:shd w:val="clear" w:color="auto" w:fill="FFFFFF"/>
        <w:spacing w:before="0" w:beforeAutospacing="0" w:after="0" w:afterAutospacing="0"/>
        <w:textAlignment w:val="baseline"/>
        <w:rPr>
          <w:rFonts w:asciiTheme="minorHAnsi" w:hAnsiTheme="minorHAnsi" w:cstheme="minorHAnsi"/>
        </w:rPr>
      </w:pPr>
    </w:p>
    <w:p w:rsidR="009B5D7A" w:rsidRPr="00BA773E" w:rsidRDefault="009B5D7A" w:rsidP="00B42314">
      <w:pPr>
        <w:spacing w:after="0" w:line="240" w:lineRule="auto"/>
        <w:rPr>
          <w:rFonts w:eastAsia="Times New Roman" w:cstheme="minorHAnsi"/>
          <w:b/>
          <w:sz w:val="32"/>
          <w:szCs w:val="24"/>
        </w:rPr>
      </w:pPr>
      <w:r w:rsidRPr="00BA773E">
        <w:rPr>
          <w:rFonts w:eastAsia="Times New Roman" w:cstheme="minorHAnsi"/>
          <w:b/>
          <w:color w:val="000000"/>
          <w:sz w:val="32"/>
          <w:szCs w:val="24"/>
        </w:rPr>
        <w:t>Big Picture Provisions</w:t>
      </w:r>
      <w:r w:rsidR="00884F8D" w:rsidRPr="00BA773E">
        <w:rPr>
          <w:rFonts w:eastAsia="Times New Roman" w:cstheme="minorHAnsi"/>
          <w:b/>
          <w:color w:val="000000"/>
          <w:sz w:val="32"/>
          <w:szCs w:val="24"/>
        </w:rPr>
        <w:t xml:space="preserve"> for School Leaders</w:t>
      </w:r>
    </w:p>
    <w:p w:rsidR="00A71367" w:rsidRPr="00BA773E" w:rsidRDefault="00A71367" w:rsidP="0035075B">
      <w:pPr>
        <w:numPr>
          <w:ilvl w:val="0"/>
          <w:numId w:val="1"/>
        </w:numPr>
        <w:spacing w:after="0" w:line="240" w:lineRule="auto"/>
        <w:textAlignment w:val="baseline"/>
        <w:rPr>
          <w:rFonts w:eastAsia="Times New Roman" w:cstheme="minorHAnsi"/>
          <w:color w:val="000000"/>
          <w:sz w:val="24"/>
          <w:szCs w:val="24"/>
        </w:rPr>
      </w:pPr>
      <w:r w:rsidRPr="00BA773E">
        <w:rPr>
          <w:rFonts w:eastAsia="Times New Roman" w:cstheme="minorHAnsi"/>
          <w:color w:val="000000"/>
          <w:sz w:val="24"/>
          <w:szCs w:val="24"/>
        </w:rPr>
        <w:t>This proposal will impact cities and counties differently than it will impact school districts.</w:t>
      </w:r>
      <w:r w:rsidR="00BA773E">
        <w:rPr>
          <w:rFonts w:eastAsia="Times New Roman" w:cstheme="minorHAnsi"/>
          <w:color w:val="000000"/>
          <w:sz w:val="24"/>
          <w:szCs w:val="24"/>
        </w:rPr>
        <w:t xml:space="preserve"> </w:t>
      </w:r>
      <w:r w:rsidRPr="00BA773E">
        <w:rPr>
          <w:rFonts w:eastAsia="Times New Roman" w:cstheme="minorHAnsi"/>
          <w:color w:val="000000"/>
          <w:sz w:val="24"/>
          <w:szCs w:val="24"/>
        </w:rPr>
        <w:t>Cities and counties are currently property tax rate limited, while school districts are mostly budget limited.</w:t>
      </w:r>
      <w:r w:rsidR="00BA773E">
        <w:rPr>
          <w:rFonts w:eastAsia="Times New Roman" w:cstheme="minorHAnsi"/>
          <w:color w:val="000000"/>
          <w:sz w:val="24"/>
          <w:szCs w:val="24"/>
        </w:rPr>
        <w:t xml:space="preserve"> </w:t>
      </w:r>
      <w:r w:rsidRPr="00BA773E">
        <w:rPr>
          <w:rFonts w:eastAsia="Times New Roman" w:cstheme="minorHAnsi"/>
          <w:color w:val="000000"/>
          <w:sz w:val="24"/>
          <w:szCs w:val="24"/>
        </w:rPr>
        <w:t>These bills place cities and counties under an expenditure limitation similar to schools.</w:t>
      </w:r>
    </w:p>
    <w:p w:rsidR="009B5D7A" w:rsidRPr="00BA773E" w:rsidRDefault="009B5D7A" w:rsidP="0035075B">
      <w:pPr>
        <w:numPr>
          <w:ilvl w:val="0"/>
          <w:numId w:val="1"/>
        </w:numPr>
        <w:spacing w:after="0" w:line="240" w:lineRule="auto"/>
        <w:textAlignment w:val="baseline"/>
        <w:rPr>
          <w:rFonts w:eastAsia="Times New Roman" w:cstheme="minorHAnsi"/>
          <w:color w:val="000000"/>
          <w:sz w:val="24"/>
          <w:szCs w:val="24"/>
        </w:rPr>
      </w:pPr>
      <w:r w:rsidRPr="00BA773E">
        <w:rPr>
          <w:rFonts w:eastAsia="Times New Roman" w:cstheme="minorHAnsi"/>
          <w:color w:val="000000"/>
          <w:sz w:val="24"/>
          <w:szCs w:val="24"/>
        </w:rPr>
        <w:t xml:space="preserve">Sets the Residential Rollback to 100% over the next 5 years. This means that residential values will go from being taxed on 47% of the value to 100% and the Homestead </w:t>
      </w:r>
      <w:r w:rsidR="00884F8D" w:rsidRPr="00BA773E">
        <w:rPr>
          <w:rFonts w:eastAsia="Times New Roman" w:cstheme="minorHAnsi"/>
          <w:color w:val="000000"/>
          <w:sz w:val="24"/>
          <w:szCs w:val="24"/>
        </w:rPr>
        <w:t xml:space="preserve">tax credit </w:t>
      </w:r>
      <w:r w:rsidRPr="00BA773E">
        <w:rPr>
          <w:rFonts w:eastAsia="Times New Roman" w:cstheme="minorHAnsi"/>
          <w:color w:val="000000"/>
          <w:sz w:val="24"/>
          <w:szCs w:val="24"/>
        </w:rPr>
        <w:t>will increase from $4,850 to $25,000. This means the school district taxable valuations will go up.</w:t>
      </w:r>
    </w:p>
    <w:p w:rsidR="00884F8D" w:rsidRPr="00397782" w:rsidRDefault="009B5D7A" w:rsidP="0035075B">
      <w:pPr>
        <w:numPr>
          <w:ilvl w:val="0"/>
          <w:numId w:val="1"/>
        </w:numPr>
        <w:spacing w:after="0" w:line="240" w:lineRule="auto"/>
        <w:textAlignment w:val="baseline"/>
        <w:rPr>
          <w:rFonts w:eastAsia="Times New Roman" w:cstheme="minorHAnsi"/>
          <w:color w:val="000000"/>
          <w:sz w:val="24"/>
          <w:szCs w:val="24"/>
        </w:rPr>
      </w:pPr>
      <w:r w:rsidRPr="00397782">
        <w:rPr>
          <w:rFonts w:eastAsia="Times New Roman" w:cstheme="minorHAnsi"/>
          <w:color w:val="000000"/>
          <w:sz w:val="24"/>
          <w:szCs w:val="24"/>
        </w:rPr>
        <w:t>Lowers the school district Uniform Levy from $5.40 to $2.97 per $1,000 by FY 2030 ($2.43 decrease</w:t>
      </w:r>
      <w:r w:rsidR="00884F8D" w:rsidRPr="00397782">
        <w:rPr>
          <w:rFonts w:eastAsia="Times New Roman" w:cstheme="minorHAnsi"/>
          <w:color w:val="000000"/>
          <w:sz w:val="24"/>
          <w:szCs w:val="24"/>
        </w:rPr>
        <w:t>.</w:t>
      </w:r>
      <w:r w:rsidRPr="00397782">
        <w:rPr>
          <w:rFonts w:eastAsia="Times New Roman" w:cstheme="minorHAnsi"/>
          <w:color w:val="000000"/>
          <w:sz w:val="24"/>
          <w:szCs w:val="24"/>
        </w:rPr>
        <w:t>)</w:t>
      </w:r>
      <w:r w:rsidR="00884F8D" w:rsidRPr="00397782">
        <w:rPr>
          <w:rFonts w:eastAsia="Times New Roman" w:cstheme="minorHAnsi"/>
          <w:color w:val="000000"/>
          <w:sz w:val="24"/>
          <w:szCs w:val="24"/>
        </w:rPr>
        <w:t xml:space="preserve"> </w:t>
      </w:r>
      <w:r w:rsidR="00397782" w:rsidRPr="00397782">
        <w:rPr>
          <w:rFonts w:eastAsia="Times New Roman" w:cstheme="minorHAnsi"/>
          <w:color w:val="000000"/>
          <w:sz w:val="24"/>
          <w:szCs w:val="24"/>
        </w:rPr>
        <w:t xml:space="preserve">The decline in the rate is roughly offset by the increase in the valuation from more residential value being counted. </w:t>
      </w:r>
      <w:r w:rsidRPr="00397782">
        <w:rPr>
          <w:rFonts w:eastAsia="Times New Roman" w:cstheme="minorHAnsi"/>
          <w:color w:val="000000"/>
          <w:sz w:val="24"/>
          <w:szCs w:val="24"/>
        </w:rPr>
        <w:t xml:space="preserve">Sets the Foundation Percentage to 100% </w:t>
      </w:r>
      <w:r w:rsidR="00397782" w:rsidRPr="00397782">
        <w:rPr>
          <w:rFonts w:eastAsia="Times New Roman" w:cstheme="minorHAnsi"/>
          <w:color w:val="000000"/>
          <w:sz w:val="24"/>
          <w:szCs w:val="24"/>
        </w:rPr>
        <w:t xml:space="preserve">over the next </w:t>
      </w:r>
      <w:r w:rsidR="00397782" w:rsidRPr="00557113">
        <w:rPr>
          <w:rFonts w:eastAsia="Times New Roman" w:cstheme="minorHAnsi"/>
          <w:color w:val="000000"/>
          <w:sz w:val="24"/>
          <w:szCs w:val="24"/>
        </w:rPr>
        <w:t>five years</w:t>
      </w:r>
      <w:r w:rsidR="0035075B">
        <w:rPr>
          <w:rFonts w:eastAsia="Times New Roman" w:cstheme="minorHAnsi"/>
          <w:color w:val="000000"/>
          <w:sz w:val="24"/>
          <w:szCs w:val="24"/>
        </w:rPr>
        <w:t xml:space="preserve"> </w:t>
      </w:r>
      <w:r w:rsidRPr="00557113">
        <w:rPr>
          <w:rFonts w:eastAsia="Times New Roman" w:cstheme="minorHAnsi"/>
          <w:color w:val="000000"/>
          <w:sz w:val="24"/>
          <w:szCs w:val="24"/>
        </w:rPr>
        <w:t xml:space="preserve">which eliminates the controlled foundation portion of the Additional Levy (about $1.71/thousand). </w:t>
      </w:r>
      <w:r w:rsidR="00884F8D" w:rsidRPr="00397782">
        <w:rPr>
          <w:rFonts w:eastAsia="Times New Roman" w:cstheme="minorHAnsi"/>
          <w:color w:val="000000"/>
          <w:sz w:val="24"/>
          <w:szCs w:val="24"/>
        </w:rPr>
        <w:t>This is the provision in school property taxes that will deliver approximately $375 million in property tax relief.</w:t>
      </w:r>
    </w:p>
    <w:p w:rsidR="009B5D7A" w:rsidRPr="00BA773E" w:rsidRDefault="009B5D7A" w:rsidP="0035075B">
      <w:pPr>
        <w:numPr>
          <w:ilvl w:val="0"/>
          <w:numId w:val="1"/>
        </w:numPr>
        <w:spacing w:after="0" w:line="240" w:lineRule="auto"/>
        <w:textAlignment w:val="baseline"/>
        <w:rPr>
          <w:rFonts w:eastAsia="Times New Roman" w:cstheme="minorHAnsi"/>
          <w:color w:val="000000"/>
          <w:sz w:val="24"/>
          <w:szCs w:val="24"/>
        </w:rPr>
      </w:pPr>
      <w:r w:rsidRPr="00BA773E">
        <w:rPr>
          <w:rFonts w:eastAsia="Times New Roman" w:cstheme="minorHAnsi"/>
          <w:color w:val="000000"/>
          <w:sz w:val="24"/>
          <w:szCs w:val="24"/>
        </w:rPr>
        <w:t xml:space="preserve">Limits </w:t>
      </w:r>
      <w:r w:rsidR="00884F8D" w:rsidRPr="00BA773E">
        <w:rPr>
          <w:rFonts w:eastAsia="Times New Roman" w:cstheme="minorHAnsi"/>
          <w:color w:val="000000"/>
          <w:sz w:val="24"/>
          <w:szCs w:val="24"/>
        </w:rPr>
        <w:t xml:space="preserve">the ability to levy additional </w:t>
      </w:r>
      <w:r w:rsidRPr="00BA773E">
        <w:rPr>
          <w:rFonts w:eastAsia="Times New Roman" w:cstheme="minorHAnsi"/>
          <w:color w:val="000000"/>
          <w:sz w:val="24"/>
          <w:szCs w:val="24"/>
        </w:rPr>
        <w:t xml:space="preserve">Management Fund </w:t>
      </w:r>
      <w:r w:rsidR="00884F8D" w:rsidRPr="00BA773E">
        <w:rPr>
          <w:rFonts w:eastAsia="Times New Roman" w:cstheme="minorHAnsi"/>
          <w:color w:val="000000"/>
          <w:sz w:val="24"/>
          <w:szCs w:val="24"/>
        </w:rPr>
        <w:t xml:space="preserve">property taxes based on large carry-forward </w:t>
      </w:r>
      <w:r w:rsidRPr="00BA773E">
        <w:rPr>
          <w:rFonts w:eastAsia="Times New Roman" w:cstheme="minorHAnsi"/>
          <w:color w:val="000000"/>
          <w:sz w:val="24"/>
          <w:szCs w:val="24"/>
        </w:rPr>
        <w:t>balances.</w:t>
      </w:r>
    </w:p>
    <w:p w:rsidR="00E7293A" w:rsidRDefault="00E7293A" w:rsidP="0035075B">
      <w:pPr>
        <w:numPr>
          <w:ilvl w:val="0"/>
          <w:numId w:val="1"/>
        </w:numPr>
        <w:spacing w:after="0" w:line="240" w:lineRule="auto"/>
        <w:textAlignment w:val="baseline"/>
        <w:rPr>
          <w:rFonts w:eastAsia="Times New Roman" w:cstheme="minorHAnsi"/>
          <w:color w:val="000000"/>
          <w:sz w:val="24"/>
          <w:szCs w:val="24"/>
        </w:rPr>
      </w:pPr>
      <w:r w:rsidRPr="00BA773E">
        <w:rPr>
          <w:rFonts w:eastAsia="Times New Roman" w:cstheme="minorHAnsi"/>
          <w:color w:val="000000"/>
          <w:sz w:val="24"/>
          <w:szCs w:val="24"/>
        </w:rPr>
        <w:t xml:space="preserve">SAVE fund capacity may actually improve as this legislation stops the SAVE fund payment for property tax relief. </w:t>
      </w:r>
    </w:p>
    <w:p w:rsidR="00B42314" w:rsidRPr="00B42314" w:rsidRDefault="00B42314" w:rsidP="0035075B">
      <w:pPr>
        <w:pStyle w:val="ListParagraph"/>
        <w:spacing w:after="0" w:line="240" w:lineRule="auto"/>
        <w:rPr>
          <w:rFonts w:cstheme="minorHAnsi"/>
        </w:rPr>
      </w:pPr>
    </w:p>
    <w:p w:rsidR="00BE1E8E" w:rsidRDefault="00BE1E8E">
      <w:pPr>
        <w:rPr>
          <w:rFonts w:eastAsia="Times New Roman" w:cstheme="minorHAnsi"/>
          <w:b/>
          <w:color w:val="000000"/>
          <w:sz w:val="32"/>
          <w:szCs w:val="24"/>
        </w:rPr>
      </w:pPr>
      <w:r>
        <w:rPr>
          <w:rFonts w:eastAsia="Times New Roman" w:cstheme="minorHAnsi"/>
          <w:b/>
          <w:color w:val="000000"/>
          <w:sz w:val="32"/>
          <w:szCs w:val="24"/>
        </w:rPr>
        <w:br w:type="page"/>
      </w:r>
    </w:p>
    <w:p w:rsidR="009B5D7A" w:rsidRPr="00BA773E" w:rsidRDefault="009B5D7A" w:rsidP="00B42314">
      <w:pPr>
        <w:spacing w:after="0" w:line="240" w:lineRule="auto"/>
        <w:rPr>
          <w:rFonts w:eastAsia="Times New Roman" w:cstheme="minorHAnsi"/>
          <w:b/>
          <w:color w:val="000000"/>
          <w:sz w:val="32"/>
          <w:szCs w:val="24"/>
        </w:rPr>
      </w:pPr>
      <w:r w:rsidRPr="00BA773E">
        <w:rPr>
          <w:rFonts w:eastAsia="Times New Roman" w:cstheme="minorHAnsi"/>
          <w:b/>
          <w:color w:val="000000"/>
          <w:sz w:val="32"/>
          <w:szCs w:val="24"/>
        </w:rPr>
        <w:lastRenderedPageBreak/>
        <w:t>Impact on Taxpayers:</w:t>
      </w:r>
    </w:p>
    <w:p w:rsidR="009B5D7A" w:rsidRPr="00BA773E" w:rsidRDefault="009B5D7A" w:rsidP="00B42314">
      <w:pPr>
        <w:numPr>
          <w:ilvl w:val="0"/>
          <w:numId w:val="2"/>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Shifts</w:t>
      </w:r>
      <w:r w:rsidR="00884F8D" w:rsidRPr="00BA773E">
        <w:rPr>
          <w:rFonts w:eastAsia="Times New Roman" w:cstheme="minorHAnsi"/>
          <w:color w:val="000000"/>
          <w:sz w:val="24"/>
          <w:szCs w:val="24"/>
        </w:rPr>
        <w:t xml:space="preserve"> the</w:t>
      </w:r>
      <w:r w:rsidRPr="00BA773E">
        <w:rPr>
          <w:rFonts w:eastAsia="Times New Roman" w:cstheme="minorHAnsi"/>
          <w:color w:val="000000"/>
          <w:sz w:val="24"/>
          <w:szCs w:val="24"/>
        </w:rPr>
        <w:t xml:space="preserve"> relative </w:t>
      </w:r>
      <w:r w:rsidR="00557113">
        <w:rPr>
          <w:rFonts w:eastAsia="Times New Roman" w:cstheme="minorHAnsi"/>
          <w:color w:val="000000"/>
          <w:sz w:val="24"/>
          <w:szCs w:val="24"/>
        </w:rPr>
        <w:t xml:space="preserve">property </w:t>
      </w:r>
      <w:r w:rsidR="00397782">
        <w:rPr>
          <w:rFonts w:eastAsia="Times New Roman" w:cstheme="minorHAnsi"/>
          <w:color w:val="000000"/>
          <w:sz w:val="24"/>
          <w:szCs w:val="24"/>
        </w:rPr>
        <w:t xml:space="preserve">tax </w:t>
      </w:r>
      <w:r w:rsidRPr="00BA773E">
        <w:rPr>
          <w:rFonts w:eastAsia="Times New Roman" w:cstheme="minorHAnsi"/>
          <w:color w:val="000000"/>
          <w:sz w:val="24"/>
          <w:szCs w:val="24"/>
        </w:rPr>
        <w:t>burden</w:t>
      </w:r>
      <w:r w:rsidR="00397782">
        <w:rPr>
          <w:rFonts w:eastAsia="Times New Roman" w:cstheme="minorHAnsi"/>
          <w:color w:val="000000"/>
          <w:sz w:val="24"/>
          <w:szCs w:val="24"/>
        </w:rPr>
        <w:t xml:space="preserve"> to residential from commercial, industrial, agriculture, </w:t>
      </w:r>
      <w:r w:rsidR="0035075B">
        <w:rPr>
          <w:rFonts w:eastAsia="Times New Roman" w:cstheme="minorHAnsi"/>
          <w:color w:val="000000"/>
          <w:sz w:val="24"/>
          <w:szCs w:val="24"/>
        </w:rPr>
        <w:t xml:space="preserve">and </w:t>
      </w:r>
      <w:r w:rsidR="00397782">
        <w:rPr>
          <w:rFonts w:eastAsia="Times New Roman" w:cstheme="minorHAnsi"/>
          <w:color w:val="000000"/>
          <w:sz w:val="24"/>
          <w:szCs w:val="24"/>
        </w:rPr>
        <w:t>utilities</w:t>
      </w:r>
      <w:r w:rsidRPr="00BA773E">
        <w:rPr>
          <w:rFonts w:eastAsia="Times New Roman" w:cstheme="minorHAnsi"/>
          <w:color w:val="000000"/>
          <w:sz w:val="24"/>
          <w:szCs w:val="24"/>
        </w:rPr>
        <w:t xml:space="preserve"> </w:t>
      </w:r>
      <w:r w:rsidR="00884F8D" w:rsidRPr="00BA773E">
        <w:rPr>
          <w:rFonts w:eastAsia="Times New Roman" w:cstheme="minorHAnsi"/>
          <w:color w:val="000000"/>
          <w:sz w:val="24"/>
          <w:szCs w:val="24"/>
        </w:rPr>
        <w:t xml:space="preserve">by eliminating the </w:t>
      </w:r>
      <w:r w:rsidR="00557113">
        <w:rPr>
          <w:rFonts w:eastAsia="Times New Roman" w:cstheme="minorHAnsi"/>
          <w:color w:val="000000"/>
          <w:sz w:val="24"/>
          <w:szCs w:val="24"/>
        </w:rPr>
        <w:t xml:space="preserve">residential </w:t>
      </w:r>
      <w:r w:rsidR="00884F8D" w:rsidRPr="00BA773E">
        <w:rPr>
          <w:rFonts w:eastAsia="Times New Roman" w:cstheme="minorHAnsi"/>
          <w:color w:val="000000"/>
          <w:sz w:val="24"/>
          <w:szCs w:val="24"/>
        </w:rPr>
        <w:t>rollback</w:t>
      </w:r>
      <w:r w:rsidRPr="00BA773E">
        <w:rPr>
          <w:rFonts w:eastAsia="Times New Roman" w:cstheme="minorHAnsi"/>
          <w:color w:val="000000"/>
          <w:sz w:val="24"/>
          <w:szCs w:val="24"/>
        </w:rPr>
        <w:t>.</w:t>
      </w:r>
    </w:p>
    <w:p w:rsidR="009B5D7A" w:rsidRPr="00B42314" w:rsidRDefault="00884F8D" w:rsidP="00B42314">
      <w:pPr>
        <w:numPr>
          <w:ilvl w:val="0"/>
          <w:numId w:val="2"/>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 xml:space="preserve">Our team will need </w:t>
      </w:r>
      <w:r w:rsidR="009B5D7A" w:rsidRPr="00BA773E">
        <w:rPr>
          <w:rFonts w:eastAsia="Times New Roman" w:cstheme="minorHAnsi"/>
          <w:color w:val="000000"/>
          <w:sz w:val="24"/>
          <w:szCs w:val="24"/>
        </w:rPr>
        <w:t xml:space="preserve">more </w:t>
      </w:r>
      <w:r w:rsidRPr="00BA773E">
        <w:rPr>
          <w:rFonts w:eastAsia="Times New Roman" w:cstheme="minorHAnsi"/>
          <w:color w:val="000000"/>
          <w:sz w:val="24"/>
          <w:szCs w:val="24"/>
        </w:rPr>
        <w:t xml:space="preserve">time and information </w:t>
      </w:r>
      <w:r w:rsidR="009B5D7A" w:rsidRPr="00BA773E">
        <w:rPr>
          <w:rFonts w:eastAsia="Times New Roman" w:cstheme="minorHAnsi"/>
          <w:color w:val="000000"/>
          <w:sz w:val="24"/>
          <w:szCs w:val="24"/>
        </w:rPr>
        <w:t xml:space="preserve">to determine </w:t>
      </w:r>
      <w:r w:rsidRPr="00BA773E">
        <w:rPr>
          <w:rFonts w:eastAsia="Times New Roman" w:cstheme="minorHAnsi"/>
          <w:color w:val="000000"/>
          <w:sz w:val="24"/>
          <w:szCs w:val="24"/>
        </w:rPr>
        <w:t>impact on property</w:t>
      </w:r>
      <w:r w:rsidR="008A0781">
        <w:rPr>
          <w:rFonts w:eastAsia="Times New Roman" w:cstheme="minorHAnsi"/>
          <w:color w:val="000000"/>
          <w:sz w:val="24"/>
          <w:szCs w:val="24"/>
        </w:rPr>
        <w:t xml:space="preserve"> </w:t>
      </w:r>
      <w:r w:rsidRPr="00BA773E">
        <w:rPr>
          <w:rFonts w:eastAsia="Times New Roman" w:cstheme="minorHAnsi"/>
          <w:color w:val="000000"/>
          <w:sz w:val="24"/>
          <w:szCs w:val="24"/>
        </w:rPr>
        <w:t>taxpayers.</w:t>
      </w:r>
      <w:r w:rsidR="00BA773E">
        <w:rPr>
          <w:rFonts w:eastAsia="Times New Roman" w:cstheme="minorHAnsi"/>
          <w:color w:val="000000"/>
          <w:sz w:val="24"/>
          <w:szCs w:val="24"/>
        </w:rPr>
        <w:t xml:space="preserve"> </w:t>
      </w:r>
      <w:r w:rsidRPr="00BA773E">
        <w:rPr>
          <w:rFonts w:eastAsia="Times New Roman" w:cstheme="minorHAnsi"/>
          <w:color w:val="000000"/>
          <w:sz w:val="24"/>
          <w:szCs w:val="24"/>
        </w:rPr>
        <w:t xml:space="preserve">A </w:t>
      </w:r>
      <w:r w:rsidR="009B5D7A" w:rsidRPr="00BA773E">
        <w:rPr>
          <w:rFonts w:eastAsia="Times New Roman" w:cstheme="minorHAnsi"/>
          <w:color w:val="000000"/>
          <w:sz w:val="24"/>
          <w:szCs w:val="24"/>
        </w:rPr>
        <w:t>number of property taxpayers will face a tax increase</w:t>
      </w:r>
      <w:r w:rsidR="00A71367" w:rsidRPr="00BA773E">
        <w:rPr>
          <w:rFonts w:eastAsia="Times New Roman" w:cstheme="minorHAnsi"/>
          <w:color w:val="000000"/>
          <w:sz w:val="24"/>
          <w:szCs w:val="24"/>
        </w:rPr>
        <w:t>, e</w:t>
      </w:r>
      <w:r w:rsidR="009B5D7A" w:rsidRPr="00BA773E">
        <w:rPr>
          <w:rFonts w:eastAsia="Times New Roman" w:cstheme="minorHAnsi"/>
          <w:color w:val="000000"/>
          <w:sz w:val="24"/>
          <w:szCs w:val="24"/>
        </w:rPr>
        <w:t>specially in transition years.</w:t>
      </w:r>
      <w:r w:rsidR="008A0781">
        <w:rPr>
          <w:rFonts w:eastAsia="Times New Roman" w:cstheme="minorHAnsi"/>
          <w:color w:val="000000"/>
          <w:sz w:val="24"/>
          <w:szCs w:val="24"/>
        </w:rPr>
        <w:t xml:space="preserve"> </w:t>
      </w:r>
      <w:r w:rsidR="00557113">
        <w:rPr>
          <w:rFonts w:eastAsia="Times New Roman" w:cstheme="minorHAnsi"/>
          <w:color w:val="000000"/>
          <w:sz w:val="24"/>
          <w:szCs w:val="24"/>
        </w:rPr>
        <w:t>Small commercial taxpayers may also be negatively impacted as the first $150,000 of</w:t>
      </w:r>
      <w:r w:rsidR="008A0781">
        <w:rPr>
          <w:rFonts w:eastAsia="Times New Roman" w:cstheme="minorHAnsi"/>
          <w:color w:val="000000"/>
          <w:sz w:val="24"/>
          <w:szCs w:val="24"/>
        </w:rPr>
        <w:t xml:space="preserve"> </w:t>
      </w:r>
      <w:r w:rsidR="00557113">
        <w:rPr>
          <w:rFonts w:eastAsia="Times New Roman" w:cstheme="minorHAnsi"/>
          <w:color w:val="000000"/>
          <w:sz w:val="24"/>
          <w:szCs w:val="24"/>
        </w:rPr>
        <w:t xml:space="preserve">commercial value is </w:t>
      </w:r>
      <w:r w:rsidR="0035075B">
        <w:rPr>
          <w:rFonts w:eastAsia="Times New Roman" w:cstheme="minorHAnsi"/>
          <w:color w:val="000000"/>
          <w:sz w:val="24"/>
          <w:szCs w:val="24"/>
        </w:rPr>
        <w:t>multiplied</w:t>
      </w:r>
      <w:r w:rsidR="00557113">
        <w:rPr>
          <w:rFonts w:eastAsia="Times New Roman" w:cstheme="minorHAnsi"/>
          <w:color w:val="000000"/>
          <w:sz w:val="24"/>
          <w:szCs w:val="24"/>
        </w:rPr>
        <w:t xml:space="preserve"> by the residential rollback.</w:t>
      </w:r>
      <w:r w:rsidR="008A0781">
        <w:rPr>
          <w:rFonts w:eastAsia="Times New Roman" w:cstheme="minorHAnsi"/>
          <w:color w:val="000000"/>
          <w:sz w:val="24"/>
          <w:szCs w:val="24"/>
        </w:rPr>
        <w:t xml:space="preserve"> </w:t>
      </w:r>
    </w:p>
    <w:p w:rsidR="00B42314" w:rsidRPr="00B42314" w:rsidRDefault="00B42314" w:rsidP="00B42314">
      <w:pPr>
        <w:pStyle w:val="ListParagraph"/>
        <w:spacing w:after="0" w:line="240" w:lineRule="auto"/>
        <w:rPr>
          <w:rFonts w:cstheme="minorHAnsi"/>
        </w:rPr>
      </w:pPr>
    </w:p>
    <w:p w:rsidR="009B5D7A" w:rsidRPr="00BA773E" w:rsidRDefault="009B5D7A" w:rsidP="00B42314">
      <w:pPr>
        <w:spacing w:after="0" w:line="240" w:lineRule="auto"/>
        <w:rPr>
          <w:rFonts w:eastAsia="Times New Roman" w:cstheme="minorHAnsi"/>
          <w:b/>
          <w:color w:val="000000"/>
          <w:sz w:val="32"/>
          <w:szCs w:val="24"/>
        </w:rPr>
      </w:pPr>
      <w:r w:rsidRPr="00BA773E">
        <w:rPr>
          <w:rFonts w:eastAsia="Times New Roman" w:cstheme="minorHAnsi"/>
          <w:b/>
          <w:color w:val="000000"/>
          <w:sz w:val="32"/>
          <w:szCs w:val="24"/>
        </w:rPr>
        <w:t>Impact on Schools:</w:t>
      </w:r>
    </w:p>
    <w:p w:rsidR="009B5D7A" w:rsidRPr="00BA773E" w:rsidRDefault="009B5D7A" w:rsidP="00B42314">
      <w:pPr>
        <w:numPr>
          <w:ilvl w:val="0"/>
          <w:numId w:val="3"/>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 xml:space="preserve">Shifts school funds from property taxes to the State. Increases the risks associated with the State’s fiscal capacity to honor future commitments. </w:t>
      </w:r>
      <w:r w:rsidRPr="00BA773E">
        <w:rPr>
          <w:rFonts w:eastAsia="Times New Roman" w:cstheme="minorHAnsi"/>
          <w:i/>
          <w:iCs/>
          <w:color w:val="000000"/>
          <w:sz w:val="24"/>
          <w:szCs w:val="24"/>
        </w:rPr>
        <w:t>(</w:t>
      </w:r>
      <w:r w:rsidR="00A71367" w:rsidRPr="00BA773E">
        <w:rPr>
          <w:rFonts w:eastAsia="Times New Roman" w:cstheme="minorHAnsi"/>
          <w:i/>
          <w:iCs/>
          <w:color w:val="000000"/>
          <w:sz w:val="24"/>
          <w:szCs w:val="24"/>
        </w:rPr>
        <w:t>I</w:t>
      </w:r>
      <w:r w:rsidR="00884F8D" w:rsidRPr="00BA773E">
        <w:rPr>
          <w:rFonts w:eastAsia="Times New Roman" w:cstheme="minorHAnsi"/>
          <w:i/>
          <w:iCs/>
          <w:color w:val="000000"/>
          <w:sz w:val="24"/>
          <w:szCs w:val="24"/>
        </w:rPr>
        <w:t>mpact</w:t>
      </w:r>
      <w:r w:rsidRPr="00BA773E">
        <w:rPr>
          <w:rFonts w:eastAsia="Times New Roman" w:cstheme="minorHAnsi"/>
          <w:i/>
          <w:iCs/>
          <w:color w:val="000000"/>
          <w:sz w:val="24"/>
          <w:szCs w:val="24"/>
        </w:rPr>
        <w:t>: the additional levy alone is $375</w:t>
      </w:r>
      <w:r w:rsidR="00884F8D" w:rsidRPr="00BA773E">
        <w:rPr>
          <w:rFonts w:eastAsia="Times New Roman" w:cstheme="minorHAnsi"/>
          <w:i/>
          <w:iCs/>
          <w:color w:val="000000"/>
          <w:sz w:val="24"/>
          <w:szCs w:val="24"/>
        </w:rPr>
        <w:t xml:space="preserve"> million</w:t>
      </w:r>
      <w:r w:rsidRPr="00BA773E">
        <w:rPr>
          <w:rFonts w:eastAsia="Times New Roman" w:cstheme="minorHAnsi"/>
          <w:i/>
          <w:iCs/>
          <w:color w:val="000000"/>
          <w:sz w:val="24"/>
          <w:szCs w:val="24"/>
        </w:rPr>
        <w:t xml:space="preserve"> minimum impact.</w:t>
      </w:r>
      <w:r w:rsidR="00884F8D" w:rsidRPr="00BA773E">
        <w:rPr>
          <w:rFonts w:eastAsia="Times New Roman" w:cstheme="minorHAnsi"/>
          <w:i/>
          <w:iCs/>
          <w:color w:val="000000"/>
          <w:sz w:val="24"/>
          <w:szCs w:val="24"/>
        </w:rPr>
        <w:t xml:space="preserve"> The State will have to pay that plus any additional costs associated with </w:t>
      </w:r>
      <w:r w:rsidR="00A71367" w:rsidRPr="00BA773E">
        <w:rPr>
          <w:rFonts w:eastAsia="Times New Roman" w:cstheme="minorHAnsi"/>
          <w:i/>
          <w:iCs/>
          <w:color w:val="000000"/>
          <w:sz w:val="24"/>
          <w:szCs w:val="24"/>
        </w:rPr>
        <w:t>future</w:t>
      </w:r>
      <w:r w:rsidR="00884F8D" w:rsidRPr="00BA773E">
        <w:rPr>
          <w:rFonts w:eastAsia="Times New Roman" w:cstheme="minorHAnsi"/>
          <w:i/>
          <w:iCs/>
          <w:color w:val="000000"/>
          <w:sz w:val="24"/>
          <w:szCs w:val="24"/>
        </w:rPr>
        <w:t xml:space="preserve"> SSA increase</w:t>
      </w:r>
      <w:r w:rsidR="0013121F" w:rsidRPr="00BA773E">
        <w:rPr>
          <w:rFonts w:eastAsia="Times New Roman" w:cstheme="minorHAnsi"/>
          <w:i/>
          <w:iCs/>
          <w:color w:val="000000"/>
          <w:sz w:val="24"/>
          <w:szCs w:val="24"/>
        </w:rPr>
        <w:t>s</w:t>
      </w:r>
      <w:r w:rsidRPr="00BA773E">
        <w:rPr>
          <w:rFonts w:eastAsia="Times New Roman" w:cstheme="minorHAnsi"/>
          <w:i/>
          <w:iCs/>
          <w:color w:val="000000"/>
          <w:sz w:val="24"/>
          <w:szCs w:val="24"/>
        </w:rPr>
        <w:t>)</w:t>
      </w:r>
      <w:r w:rsidR="00BA773E">
        <w:rPr>
          <w:rFonts w:eastAsia="Times New Roman" w:cstheme="minorHAnsi"/>
          <w:i/>
          <w:iCs/>
          <w:color w:val="000000"/>
          <w:sz w:val="24"/>
          <w:szCs w:val="24"/>
        </w:rPr>
        <w:t xml:space="preserve"> </w:t>
      </w:r>
    </w:p>
    <w:p w:rsidR="009B5D7A" w:rsidRPr="00BA773E" w:rsidRDefault="009B5D7A" w:rsidP="00B42314">
      <w:pPr>
        <w:numPr>
          <w:ilvl w:val="0"/>
          <w:numId w:val="3"/>
        </w:numPr>
        <w:spacing w:after="0" w:line="240" w:lineRule="auto"/>
        <w:textAlignment w:val="baseline"/>
        <w:rPr>
          <w:rFonts w:eastAsia="Times New Roman" w:cstheme="minorHAnsi"/>
          <w:i/>
          <w:iCs/>
          <w:color w:val="000000"/>
          <w:sz w:val="24"/>
          <w:szCs w:val="24"/>
        </w:rPr>
      </w:pPr>
      <w:r w:rsidRPr="00BA773E">
        <w:rPr>
          <w:rFonts w:eastAsia="Times New Roman" w:cstheme="minorHAnsi"/>
          <w:color w:val="000000"/>
          <w:sz w:val="24"/>
          <w:szCs w:val="24"/>
        </w:rPr>
        <w:t xml:space="preserve">Districts with a high proportion of residential valuation will realize the highest increase in taxable values. </w:t>
      </w:r>
      <w:r w:rsidRPr="00BA773E">
        <w:rPr>
          <w:rFonts w:eastAsia="Times New Roman" w:cstheme="minorHAnsi"/>
          <w:i/>
          <w:iCs/>
          <w:color w:val="000000"/>
          <w:sz w:val="24"/>
          <w:szCs w:val="24"/>
        </w:rPr>
        <w:t>(</w:t>
      </w:r>
      <w:r w:rsidR="0013121F" w:rsidRPr="00BA773E">
        <w:rPr>
          <w:rFonts w:eastAsia="Times New Roman" w:cstheme="minorHAnsi"/>
          <w:i/>
          <w:iCs/>
          <w:color w:val="000000"/>
          <w:sz w:val="24"/>
          <w:szCs w:val="24"/>
        </w:rPr>
        <w:t>Note: t</w:t>
      </w:r>
      <w:r w:rsidR="00884F8D" w:rsidRPr="00BA773E">
        <w:rPr>
          <w:rFonts w:eastAsia="Times New Roman" w:cstheme="minorHAnsi"/>
          <w:i/>
          <w:iCs/>
          <w:color w:val="000000"/>
          <w:sz w:val="24"/>
          <w:szCs w:val="24"/>
        </w:rPr>
        <w:t>he legislation does not lower some rate limited school levies. Increased valuation will result in a higher levy at the same tax rate</w:t>
      </w:r>
      <w:r w:rsidRPr="00BA773E">
        <w:rPr>
          <w:rFonts w:eastAsia="Times New Roman" w:cstheme="minorHAnsi"/>
          <w:i/>
          <w:iCs/>
          <w:color w:val="000000"/>
          <w:sz w:val="24"/>
          <w:szCs w:val="24"/>
        </w:rPr>
        <w:t xml:space="preserve"> for PPEL</w:t>
      </w:r>
      <w:r w:rsidR="00A71367" w:rsidRPr="00BA773E">
        <w:rPr>
          <w:rFonts w:eastAsia="Times New Roman" w:cstheme="minorHAnsi"/>
          <w:i/>
          <w:iCs/>
          <w:color w:val="000000"/>
          <w:sz w:val="24"/>
          <w:szCs w:val="24"/>
        </w:rPr>
        <w:t xml:space="preserve"> and </w:t>
      </w:r>
      <w:r w:rsidRPr="00BA773E">
        <w:rPr>
          <w:rFonts w:eastAsia="Times New Roman" w:cstheme="minorHAnsi"/>
          <w:i/>
          <w:iCs/>
          <w:color w:val="000000"/>
          <w:sz w:val="24"/>
          <w:szCs w:val="24"/>
        </w:rPr>
        <w:t>debt service</w:t>
      </w:r>
      <w:r w:rsidR="00A71367" w:rsidRPr="00BA773E">
        <w:rPr>
          <w:rFonts w:eastAsia="Times New Roman" w:cstheme="minorHAnsi"/>
          <w:i/>
          <w:iCs/>
          <w:color w:val="000000"/>
          <w:sz w:val="24"/>
          <w:szCs w:val="24"/>
        </w:rPr>
        <w:t>.</w:t>
      </w:r>
      <w:r w:rsidR="00BA773E">
        <w:rPr>
          <w:rFonts w:eastAsia="Times New Roman" w:cstheme="minorHAnsi"/>
          <w:i/>
          <w:iCs/>
          <w:color w:val="000000"/>
          <w:sz w:val="24"/>
          <w:szCs w:val="24"/>
        </w:rPr>
        <w:t xml:space="preserve"> </w:t>
      </w:r>
      <w:r w:rsidR="00A71367" w:rsidRPr="00BA773E">
        <w:rPr>
          <w:rFonts w:eastAsia="Times New Roman" w:cstheme="minorHAnsi"/>
          <w:i/>
          <w:iCs/>
          <w:color w:val="000000"/>
          <w:sz w:val="24"/>
          <w:szCs w:val="24"/>
        </w:rPr>
        <w:t>Since</w:t>
      </w:r>
      <w:r w:rsidRPr="00BA773E">
        <w:rPr>
          <w:rFonts w:eastAsia="Times New Roman" w:cstheme="minorHAnsi"/>
          <w:i/>
          <w:iCs/>
          <w:color w:val="000000"/>
          <w:sz w:val="24"/>
          <w:szCs w:val="24"/>
        </w:rPr>
        <w:t xml:space="preserve"> ISL </w:t>
      </w:r>
      <w:r w:rsidR="00A71367" w:rsidRPr="00BA773E">
        <w:rPr>
          <w:rFonts w:eastAsia="Times New Roman" w:cstheme="minorHAnsi"/>
          <w:i/>
          <w:iCs/>
          <w:color w:val="000000"/>
          <w:sz w:val="24"/>
          <w:szCs w:val="24"/>
        </w:rPr>
        <w:t xml:space="preserve">proration is based on relative property value per pupil, there will be </w:t>
      </w:r>
      <w:r w:rsidR="0013121F" w:rsidRPr="00BA773E">
        <w:rPr>
          <w:rFonts w:eastAsia="Times New Roman" w:cstheme="minorHAnsi"/>
          <w:i/>
          <w:iCs/>
          <w:color w:val="000000"/>
          <w:sz w:val="24"/>
          <w:szCs w:val="24"/>
        </w:rPr>
        <w:t>changes</w:t>
      </w:r>
      <w:r w:rsidR="00A71367" w:rsidRPr="00BA773E">
        <w:rPr>
          <w:rFonts w:eastAsia="Times New Roman" w:cstheme="minorHAnsi"/>
          <w:i/>
          <w:iCs/>
          <w:color w:val="000000"/>
          <w:sz w:val="24"/>
          <w:szCs w:val="24"/>
        </w:rPr>
        <w:t xml:space="preserve">. All of this assumes the </w:t>
      </w:r>
      <w:r w:rsidRPr="00BA773E">
        <w:rPr>
          <w:rFonts w:eastAsia="Times New Roman" w:cstheme="minorHAnsi"/>
          <w:i/>
          <w:iCs/>
          <w:color w:val="000000"/>
          <w:sz w:val="24"/>
          <w:szCs w:val="24"/>
        </w:rPr>
        <w:t>legislation doesn’t otherwise restrict</w:t>
      </w:r>
      <w:r w:rsidR="0013121F" w:rsidRPr="00BA773E">
        <w:rPr>
          <w:rFonts w:eastAsia="Times New Roman" w:cstheme="minorHAnsi"/>
          <w:i/>
          <w:iCs/>
          <w:color w:val="000000"/>
          <w:sz w:val="24"/>
          <w:szCs w:val="24"/>
        </w:rPr>
        <w:t xml:space="preserve"> those rates</w:t>
      </w:r>
      <w:r w:rsidRPr="00BA773E">
        <w:rPr>
          <w:rFonts w:eastAsia="Times New Roman" w:cstheme="minorHAnsi"/>
          <w:i/>
          <w:iCs/>
          <w:color w:val="000000"/>
          <w:sz w:val="24"/>
          <w:szCs w:val="24"/>
        </w:rPr>
        <w:t>). </w:t>
      </w:r>
    </w:p>
    <w:p w:rsidR="00A71367" w:rsidRPr="00BA773E" w:rsidRDefault="009B5D7A" w:rsidP="00B42314">
      <w:pPr>
        <w:numPr>
          <w:ilvl w:val="0"/>
          <w:numId w:val="3"/>
        </w:numPr>
        <w:spacing w:after="0" w:line="240" w:lineRule="auto"/>
        <w:textAlignment w:val="baseline"/>
        <w:rPr>
          <w:rFonts w:eastAsia="Times New Roman" w:cstheme="minorHAnsi"/>
          <w:i/>
          <w:color w:val="000000"/>
          <w:sz w:val="20"/>
          <w:szCs w:val="20"/>
        </w:rPr>
      </w:pPr>
      <w:r w:rsidRPr="00BA773E">
        <w:rPr>
          <w:rFonts w:eastAsia="Times New Roman" w:cstheme="minorHAnsi"/>
          <w:color w:val="000000"/>
          <w:sz w:val="24"/>
          <w:szCs w:val="24"/>
        </w:rPr>
        <w:t xml:space="preserve">Districts with Management Fund balances in excess of 180% </w:t>
      </w:r>
      <w:r w:rsidR="00A71367" w:rsidRPr="00BA773E">
        <w:rPr>
          <w:rFonts w:eastAsia="Times New Roman" w:cstheme="minorHAnsi"/>
          <w:color w:val="000000"/>
          <w:sz w:val="24"/>
          <w:szCs w:val="24"/>
        </w:rPr>
        <w:t xml:space="preserve">would be prohibited from </w:t>
      </w:r>
      <w:r w:rsidRPr="00BA773E">
        <w:rPr>
          <w:rFonts w:eastAsia="Times New Roman" w:cstheme="minorHAnsi"/>
          <w:color w:val="000000"/>
          <w:sz w:val="24"/>
          <w:szCs w:val="24"/>
        </w:rPr>
        <w:t>lev</w:t>
      </w:r>
      <w:r w:rsidR="00A71367" w:rsidRPr="00BA773E">
        <w:rPr>
          <w:rFonts w:eastAsia="Times New Roman" w:cstheme="minorHAnsi"/>
          <w:color w:val="000000"/>
          <w:sz w:val="24"/>
          <w:szCs w:val="24"/>
        </w:rPr>
        <w:t>ying</w:t>
      </w:r>
      <w:r w:rsidRPr="00BA773E">
        <w:rPr>
          <w:rFonts w:eastAsia="Times New Roman" w:cstheme="minorHAnsi"/>
          <w:color w:val="000000"/>
          <w:sz w:val="24"/>
          <w:szCs w:val="24"/>
        </w:rPr>
        <w:t xml:space="preserve"> a</w:t>
      </w:r>
      <w:r w:rsidR="00A71367" w:rsidRPr="00BA773E">
        <w:rPr>
          <w:rFonts w:eastAsia="Times New Roman" w:cstheme="minorHAnsi"/>
          <w:color w:val="000000"/>
          <w:sz w:val="24"/>
          <w:szCs w:val="24"/>
        </w:rPr>
        <w:t xml:space="preserve">dditional Management Fund </w:t>
      </w:r>
      <w:r w:rsidRPr="00BA773E">
        <w:rPr>
          <w:rFonts w:eastAsia="Times New Roman" w:cstheme="minorHAnsi"/>
          <w:color w:val="000000"/>
          <w:sz w:val="24"/>
          <w:szCs w:val="24"/>
        </w:rPr>
        <w:t xml:space="preserve">for FY 2027. </w:t>
      </w:r>
      <w:r w:rsidR="00A71367" w:rsidRPr="00BA773E">
        <w:rPr>
          <w:rFonts w:eastAsia="Times New Roman" w:cstheme="minorHAnsi"/>
          <w:color w:val="000000"/>
          <w:sz w:val="24"/>
          <w:szCs w:val="24"/>
        </w:rPr>
        <w:t>The bill would allow a future l</w:t>
      </w:r>
      <w:r w:rsidRPr="00BA773E">
        <w:rPr>
          <w:rFonts w:eastAsia="Times New Roman" w:cstheme="minorHAnsi"/>
          <w:color w:val="000000"/>
          <w:sz w:val="24"/>
          <w:szCs w:val="24"/>
        </w:rPr>
        <w:t xml:space="preserve">evy if </w:t>
      </w:r>
      <w:r w:rsidR="00A71367" w:rsidRPr="00BA773E">
        <w:rPr>
          <w:rFonts w:eastAsia="Times New Roman" w:cstheme="minorHAnsi"/>
          <w:color w:val="000000"/>
          <w:sz w:val="24"/>
          <w:szCs w:val="24"/>
        </w:rPr>
        <w:t xml:space="preserve">the district </w:t>
      </w:r>
      <w:r w:rsidR="0035075B">
        <w:rPr>
          <w:rFonts w:eastAsia="Times New Roman" w:cstheme="minorHAnsi"/>
          <w:color w:val="000000"/>
          <w:sz w:val="24"/>
          <w:szCs w:val="24"/>
        </w:rPr>
        <w:t>expends funds</w:t>
      </w:r>
      <w:r w:rsidRPr="00BA773E">
        <w:rPr>
          <w:rFonts w:eastAsia="Times New Roman" w:cstheme="minorHAnsi"/>
          <w:color w:val="000000"/>
          <w:sz w:val="24"/>
          <w:szCs w:val="24"/>
        </w:rPr>
        <w:t xml:space="preserve"> and </w:t>
      </w:r>
      <w:r w:rsidR="00A71367" w:rsidRPr="00BA773E">
        <w:rPr>
          <w:rFonts w:eastAsia="Times New Roman" w:cstheme="minorHAnsi"/>
          <w:color w:val="000000"/>
          <w:sz w:val="24"/>
          <w:szCs w:val="24"/>
        </w:rPr>
        <w:t>falls</w:t>
      </w:r>
      <w:r w:rsidRPr="00BA773E">
        <w:rPr>
          <w:rFonts w:eastAsia="Times New Roman" w:cstheme="minorHAnsi"/>
          <w:color w:val="000000"/>
          <w:sz w:val="24"/>
          <w:szCs w:val="24"/>
        </w:rPr>
        <w:t xml:space="preserve"> under the limit. </w:t>
      </w:r>
      <w:r w:rsidR="0013121F" w:rsidRPr="00BA773E">
        <w:rPr>
          <w:rFonts w:eastAsia="Times New Roman" w:cstheme="minorHAnsi"/>
          <w:i/>
          <w:color w:val="000000"/>
          <w:sz w:val="24"/>
          <w:szCs w:val="24"/>
        </w:rPr>
        <w:t>(</w:t>
      </w:r>
      <w:r w:rsidRPr="00BA773E">
        <w:rPr>
          <w:rFonts w:eastAsia="Times New Roman" w:cstheme="minorHAnsi"/>
          <w:i/>
          <w:color w:val="000000"/>
          <w:sz w:val="24"/>
          <w:szCs w:val="24"/>
        </w:rPr>
        <w:t>Does not establish a rate limit or otherwise change the levy purposes.</w:t>
      </w:r>
      <w:r w:rsidR="0013121F" w:rsidRPr="00BA773E">
        <w:rPr>
          <w:rFonts w:eastAsia="Times New Roman" w:cstheme="minorHAnsi"/>
          <w:i/>
          <w:color w:val="000000"/>
          <w:sz w:val="24"/>
          <w:szCs w:val="24"/>
        </w:rPr>
        <w:t>)</w:t>
      </w:r>
    </w:p>
    <w:p w:rsidR="009B5D7A" w:rsidRPr="00BA773E" w:rsidRDefault="00A71367" w:rsidP="00B42314">
      <w:pPr>
        <w:numPr>
          <w:ilvl w:val="0"/>
          <w:numId w:val="3"/>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 xml:space="preserve">Our initial look </w:t>
      </w:r>
      <w:r w:rsidR="009B5D7A" w:rsidRPr="00BA773E">
        <w:rPr>
          <w:rFonts w:eastAsia="Times New Roman" w:cstheme="minorHAnsi"/>
          <w:color w:val="000000"/>
          <w:sz w:val="24"/>
          <w:szCs w:val="24"/>
        </w:rPr>
        <w:t>estimate</w:t>
      </w:r>
      <w:r w:rsidRPr="00BA773E">
        <w:rPr>
          <w:rFonts w:eastAsia="Times New Roman" w:cstheme="minorHAnsi"/>
          <w:color w:val="000000"/>
          <w:sz w:val="24"/>
          <w:szCs w:val="24"/>
        </w:rPr>
        <w:t xml:space="preserve">s approximately </w:t>
      </w:r>
      <w:r w:rsidR="009B5D7A" w:rsidRPr="00BA773E">
        <w:rPr>
          <w:rFonts w:eastAsia="Times New Roman" w:cstheme="minorHAnsi"/>
          <w:color w:val="000000"/>
          <w:sz w:val="24"/>
          <w:szCs w:val="24"/>
        </w:rPr>
        <w:t>160 school</w:t>
      </w:r>
      <w:r w:rsidRPr="00BA773E">
        <w:rPr>
          <w:rFonts w:eastAsia="Times New Roman" w:cstheme="minorHAnsi"/>
          <w:color w:val="000000"/>
          <w:sz w:val="24"/>
          <w:szCs w:val="24"/>
        </w:rPr>
        <w:t xml:space="preserve"> districts were</w:t>
      </w:r>
      <w:r w:rsidR="009B5D7A" w:rsidRPr="00BA773E">
        <w:rPr>
          <w:rFonts w:eastAsia="Times New Roman" w:cstheme="minorHAnsi"/>
          <w:color w:val="000000"/>
          <w:sz w:val="24"/>
          <w:szCs w:val="24"/>
        </w:rPr>
        <w:t xml:space="preserve"> over </w:t>
      </w:r>
      <w:r w:rsidRPr="00BA773E">
        <w:rPr>
          <w:rFonts w:eastAsia="Times New Roman" w:cstheme="minorHAnsi"/>
          <w:color w:val="000000"/>
          <w:sz w:val="24"/>
          <w:szCs w:val="24"/>
        </w:rPr>
        <w:t xml:space="preserve">the </w:t>
      </w:r>
      <w:r w:rsidR="009B5D7A" w:rsidRPr="00BA773E">
        <w:rPr>
          <w:rFonts w:eastAsia="Times New Roman" w:cstheme="minorHAnsi"/>
          <w:color w:val="000000"/>
          <w:sz w:val="24"/>
          <w:szCs w:val="24"/>
        </w:rPr>
        <w:t xml:space="preserve">180% Management Fund </w:t>
      </w:r>
      <w:r w:rsidRPr="00BA773E">
        <w:rPr>
          <w:rFonts w:eastAsia="Times New Roman" w:cstheme="minorHAnsi"/>
          <w:color w:val="000000"/>
          <w:sz w:val="24"/>
          <w:szCs w:val="24"/>
        </w:rPr>
        <w:t>Balance</w:t>
      </w:r>
      <w:r w:rsidR="0013121F" w:rsidRPr="00BA773E">
        <w:rPr>
          <w:rFonts w:eastAsia="Times New Roman" w:cstheme="minorHAnsi"/>
          <w:color w:val="000000"/>
          <w:sz w:val="24"/>
          <w:szCs w:val="24"/>
        </w:rPr>
        <w:t xml:space="preserve"> in FY 2024</w:t>
      </w:r>
      <w:r w:rsidRPr="00BA773E">
        <w:rPr>
          <w:rFonts w:eastAsia="Times New Roman" w:cstheme="minorHAnsi"/>
          <w:color w:val="000000"/>
          <w:sz w:val="24"/>
          <w:szCs w:val="24"/>
        </w:rPr>
        <w:t xml:space="preserve">, but data for the base year in the legislation, FY 2025, will not be available for a long time. </w:t>
      </w:r>
    </w:p>
    <w:p w:rsidR="009B5D7A" w:rsidRDefault="009B5D7A" w:rsidP="00B42314">
      <w:pPr>
        <w:spacing w:after="0" w:line="240" w:lineRule="auto"/>
        <w:rPr>
          <w:rFonts w:cstheme="minorHAnsi"/>
        </w:rPr>
      </w:pPr>
    </w:p>
    <w:p w:rsidR="00B42314" w:rsidRPr="00BA773E" w:rsidRDefault="00B42314" w:rsidP="00B42314">
      <w:pPr>
        <w:spacing w:after="0" w:line="240" w:lineRule="auto"/>
        <w:rPr>
          <w:rFonts w:cstheme="minorHAnsi"/>
        </w:rPr>
      </w:pPr>
    </w:p>
    <w:p w:rsidR="0013121F" w:rsidRDefault="0013121F" w:rsidP="00B42314">
      <w:pPr>
        <w:spacing w:after="0" w:line="240" w:lineRule="auto"/>
        <w:jc w:val="center"/>
        <w:rPr>
          <w:rFonts w:eastAsia="Times New Roman" w:cstheme="minorHAnsi"/>
          <w:b/>
          <w:bCs/>
          <w:color w:val="000000"/>
          <w:sz w:val="36"/>
          <w:szCs w:val="36"/>
        </w:rPr>
      </w:pPr>
      <w:r w:rsidRPr="00BA773E">
        <w:rPr>
          <w:rFonts w:eastAsia="Times New Roman" w:cstheme="minorHAnsi"/>
          <w:b/>
          <w:bCs/>
          <w:color w:val="000000"/>
          <w:sz w:val="36"/>
          <w:szCs w:val="36"/>
        </w:rPr>
        <w:t xml:space="preserve">Bill Summary </w:t>
      </w:r>
      <w:r w:rsidR="00F170E2" w:rsidRPr="00BA773E">
        <w:rPr>
          <w:rFonts w:eastAsia="Times New Roman" w:cstheme="minorHAnsi"/>
          <w:b/>
          <w:bCs/>
          <w:color w:val="000000"/>
          <w:sz w:val="36"/>
          <w:szCs w:val="36"/>
        </w:rPr>
        <w:t>by</w:t>
      </w:r>
      <w:r w:rsidR="00B42314">
        <w:rPr>
          <w:rFonts w:eastAsia="Times New Roman" w:cstheme="minorHAnsi"/>
          <w:b/>
          <w:bCs/>
          <w:color w:val="000000"/>
          <w:sz w:val="36"/>
          <w:szCs w:val="36"/>
        </w:rPr>
        <w:t xml:space="preserve"> Division</w:t>
      </w:r>
    </w:p>
    <w:p w:rsidR="0035075B" w:rsidRPr="00BA773E" w:rsidRDefault="0035075B" w:rsidP="00B42314">
      <w:pPr>
        <w:spacing w:after="0" w:line="240" w:lineRule="auto"/>
        <w:jc w:val="center"/>
        <w:rPr>
          <w:rFonts w:eastAsia="Times New Roman" w:cstheme="minorHAnsi"/>
          <w:b/>
          <w:bCs/>
          <w:color w:val="000000"/>
          <w:sz w:val="36"/>
          <w:szCs w:val="36"/>
        </w:rPr>
      </w:pPr>
    </w:p>
    <w:p w:rsidR="00A71367" w:rsidRPr="0035075B" w:rsidRDefault="00A71367" w:rsidP="00B42314">
      <w:pPr>
        <w:spacing w:after="0" w:line="240" w:lineRule="auto"/>
        <w:rPr>
          <w:rFonts w:eastAsia="Times New Roman" w:cstheme="minorHAnsi"/>
          <w:szCs w:val="24"/>
        </w:rPr>
      </w:pPr>
      <w:r w:rsidRPr="0035075B">
        <w:rPr>
          <w:rFonts w:eastAsia="Times New Roman" w:cstheme="minorHAnsi"/>
          <w:b/>
          <w:bCs/>
          <w:color w:val="000000"/>
          <w:sz w:val="32"/>
          <w:szCs w:val="36"/>
        </w:rPr>
        <w:t>Division I: County Property Taxes and Budgets</w:t>
      </w:r>
    </w:p>
    <w:p w:rsidR="00A71367" w:rsidRPr="00BA773E" w:rsidRDefault="00A71367" w:rsidP="00B42314">
      <w:pPr>
        <w:numPr>
          <w:ilvl w:val="0"/>
          <w:numId w:val="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General County Levy Cap:</w:t>
      </w:r>
      <w:r w:rsidRPr="00BA773E">
        <w:rPr>
          <w:rFonts w:eastAsia="Times New Roman" w:cstheme="minorHAnsi"/>
          <w:color w:val="000000"/>
          <w:sz w:val="24"/>
          <w:szCs w:val="24"/>
        </w:rPr>
        <w:t xml:space="preserve"> Limits the general county services levy to $3.50 per $1,000 of assessed value until July 1, 2026.</w:t>
      </w:r>
    </w:p>
    <w:p w:rsidR="00A71367" w:rsidRPr="00BA773E" w:rsidRDefault="00A71367" w:rsidP="00B42314">
      <w:pPr>
        <w:numPr>
          <w:ilvl w:val="0"/>
          <w:numId w:val="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Rural County Levy Cap:</w:t>
      </w:r>
      <w:r w:rsidRPr="00BA773E">
        <w:rPr>
          <w:rFonts w:eastAsia="Times New Roman" w:cstheme="minorHAnsi"/>
          <w:color w:val="000000"/>
          <w:sz w:val="24"/>
          <w:szCs w:val="24"/>
        </w:rPr>
        <w:t xml:space="preserve"> Limits the rural county services levy to $3.95 per $1,000 of assessed value until July 1, 2026.</w:t>
      </w:r>
    </w:p>
    <w:p w:rsidR="00A71367" w:rsidRPr="00BA773E" w:rsidRDefault="00A71367" w:rsidP="00B42314">
      <w:pPr>
        <w:numPr>
          <w:ilvl w:val="0"/>
          <w:numId w:val="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Levy Adjustment Formula:</w:t>
      </w:r>
      <w:r w:rsidRPr="00BA773E">
        <w:rPr>
          <w:rFonts w:eastAsia="Times New Roman" w:cstheme="minorHAnsi"/>
          <w:color w:val="000000"/>
          <w:sz w:val="24"/>
          <w:szCs w:val="24"/>
        </w:rPr>
        <w:t xml:space="preserve"> From FY 2026 to FY 2031, levies will be gradually adjusted based on valuation changes and capped at 102% of prior year's revenue.</w:t>
      </w:r>
    </w:p>
    <w:p w:rsidR="00A71367" w:rsidRPr="00BA773E" w:rsidRDefault="00A71367" w:rsidP="00B42314">
      <w:pPr>
        <w:numPr>
          <w:ilvl w:val="0"/>
          <w:numId w:val="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New Valuation Definition:</w:t>
      </w:r>
      <w:r w:rsidRPr="00BA773E">
        <w:rPr>
          <w:rFonts w:eastAsia="Times New Roman" w:cstheme="minorHAnsi"/>
          <w:color w:val="000000"/>
          <w:sz w:val="24"/>
          <w:szCs w:val="24"/>
        </w:rPr>
        <w:t xml:space="preserve"> Establishes a method for incorporating new construction and annexation effects into tax calculations. </w:t>
      </w:r>
    </w:p>
    <w:p w:rsidR="00A71367" w:rsidRPr="00666B50" w:rsidRDefault="00A71367" w:rsidP="00B42314">
      <w:pPr>
        <w:numPr>
          <w:ilvl w:val="0"/>
          <w:numId w:val="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Implementation:</w:t>
      </w:r>
      <w:r w:rsidRPr="00BA773E">
        <w:rPr>
          <w:rFonts w:eastAsia="Times New Roman" w:cstheme="minorHAnsi"/>
          <w:color w:val="000000"/>
          <w:sz w:val="24"/>
          <w:szCs w:val="24"/>
        </w:rPr>
        <w:t xml:space="preserve"> Effective January 1, 2026, applying to FY 2026 budgets.</w:t>
      </w:r>
    </w:p>
    <w:p w:rsidR="00A71367" w:rsidRPr="00BA773E" w:rsidRDefault="007054E5" w:rsidP="00B42314">
      <w:pPr>
        <w:spacing w:after="0" w:line="240" w:lineRule="auto"/>
        <w:rPr>
          <w:rFonts w:eastAsia="Times New Roman" w:cstheme="minorHAnsi"/>
          <w:sz w:val="24"/>
          <w:szCs w:val="24"/>
        </w:rPr>
      </w:pPr>
      <w:r>
        <w:rPr>
          <w:rFonts w:eastAsia="Times New Roman" w:cstheme="minorHAnsi"/>
          <w:sz w:val="24"/>
          <w:szCs w:val="24"/>
        </w:rPr>
        <w:pict>
          <v:rect id="_x0000_i1025" style="width:0;height:1.5pt" o:hralign="center" o:hrstd="t" o:hr="t" fillcolor="#a0a0a0" stroked="f"/>
        </w:pict>
      </w:r>
    </w:p>
    <w:p w:rsidR="00BE1E8E" w:rsidRDefault="00BE1E8E">
      <w:pPr>
        <w:rPr>
          <w:rFonts w:eastAsia="Times New Roman" w:cstheme="minorHAnsi"/>
          <w:b/>
          <w:bCs/>
          <w:color w:val="000000"/>
          <w:sz w:val="32"/>
          <w:szCs w:val="36"/>
        </w:rPr>
      </w:pPr>
      <w:r>
        <w:rPr>
          <w:rFonts w:eastAsia="Times New Roman" w:cstheme="minorHAnsi"/>
          <w:b/>
          <w:bCs/>
          <w:color w:val="000000"/>
          <w:sz w:val="32"/>
          <w:szCs w:val="36"/>
        </w:rPr>
        <w:br w:type="page"/>
      </w:r>
    </w:p>
    <w:p w:rsidR="00A71367" w:rsidRPr="0035075B" w:rsidRDefault="00A71367" w:rsidP="0035075B">
      <w:pPr>
        <w:spacing w:before="240" w:after="0" w:line="240" w:lineRule="auto"/>
        <w:rPr>
          <w:rFonts w:eastAsia="Times New Roman" w:cstheme="minorHAnsi"/>
          <w:szCs w:val="24"/>
        </w:rPr>
      </w:pPr>
      <w:r w:rsidRPr="0035075B">
        <w:rPr>
          <w:rFonts w:eastAsia="Times New Roman" w:cstheme="minorHAnsi"/>
          <w:b/>
          <w:bCs/>
          <w:color w:val="000000"/>
          <w:sz w:val="32"/>
          <w:szCs w:val="36"/>
        </w:rPr>
        <w:lastRenderedPageBreak/>
        <w:t>Division II: City Property Taxes and Budgets</w:t>
      </w:r>
    </w:p>
    <w:p w:rsidR="00A71367" w:rsidRPr="00BA773E" w:rsidRDefault="00A71367" w:rsidP="00B42314">
      <w:pPr>
        <w:numPr>
          <w:ilvl w:val="0"/>
          <w:numId w:val="5"/>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General City Levy Cap:</w:t>
      </w:r>
      <w:r w:rsidRPr="00BA773E">
        <w:rPr>
          <w:rFonts w:eastAsia="Times New Roman" w:cstheme="minorHAnsi"/>
          <w:color w:val="000000"/>
          <w:sz w:val="24"/>
          <w:szCs w:val="24"/>
        </w:rPr>
        <w:t xml:space="preserve"> Limits the city general fund tax levy to $8.10 per $1,000 of assessed value until July 1, 2026.</w:t>
      </w:r>
    </w:p>
    <w:p w:rsidR="00A71367" w:rsidRPr="00BA773E" w:rsidRDefault="00A71367" w:rsidP="00B42314">
      <w:pPr>
        <w:numPr>
          <w:ilvl w:val="0"/>
          <w:numId w:val="5"/>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Gradual Levy Adjustments:</w:t>
      </w:r>
      <w:r w:rsidRPr="00BA773E">
        <w:rPr>
          <w:rFonts w:eastAsia="Times New Roman" w:cstheme="minorHAnsi"/>
          <w:color w:val="000000"/>
          <w:sz w:val="24"/>
          <w:szCs w:val="24"/>
        </w:rPr>
        <w:t xml:space="preserve"> Implements a new formula for phased-in levy adjustments until July 1, 2031.</w:t>
      </w:r>
    </w:p>
    <w:p w:rsidR="00A71367" w:rsidRPr="00BA773E" w:rsidRDefault="00A71367" w:rsidP="00B42314">
      <w:pPr>
        <w:numPr>
          <w:ilvl w:val="0"/>
          <w:numId w:val="5"/>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New Valuation Recognition:</w:t>
      </w:r>
      <w:r w:rsidRPr="00BA773E">
        <w:rPr>
          <w:rFonts w:eastAsia="Times New Roman" w:cstheme="minorHAnsi"/>
          <w:color w:val="000000"/>
          <w:sz w:val="24"/>
          <w:szCs w:val="24"/>
        </w:rPr>
        <w:t xml:space="preserve"> Aligns with county provisions to account for new construction and annexations in city tax assessments.</w:t>
      </w:r>
    </w:p>
    <w:p w:rsidR="00A71367" w:rsidRPr="00666B50" w:rsidRDefault="00A71367" w:rsidP="00B42314">
      <w:pPr>
        <w:numPr>
          <w:ilvl w:val="0"/>
          <w:numId w:val="5"/>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Implementation:</w:t>
      </w:r>
      <w:r w:rsidRPr="00BA773E">
        <w:rPr>
          <w:rFonts w:eastAsia="Times New Roman" w:cstheme="minorHAnsi"/>
          <w:color w:val="000000"/>
          <w:sz w:val="24"/>
          <w:szCs w:val="24"/>
        </w:rPr>
        <w:t xml:space="preserve"> Effective January 1, 2026, applying to FY 2026 budgets.</w:t>
      </w:r>
    </w:p>
    <w:p w:rsidR="00666B50" w:rsidRPr="00666B50" w:rsidRDefault="00666B50" w:rsidP="00666B50">
      <w:pPr>
        <w:spacing w:after="0" w:line="240" w:lineRule="auto"/>
        <w:ind w:left="360"/>
        <w:rPr>
          <w:rFonts w:eastAsia="Times New Roman" w:cstheme="minorHAnsi"/>
          <w:bCs/>
          <w:color w:val="000000"/>
          <w:sz w:val="24"/>
          <w:szCs w:val="24"/>
        </w:rPr>
      </w:pPr>
    </w:p>
    <w:p w:rsidR="00A71367" w:rsidRPr="00BA773E" w:rsidRDefault="007054E5" w:rsidP="00B42314">
      <w:pPr>
        <w:spacing w:after="0" w:line="240" w:lineRule="auto"/>
        <w:rPr>
          <w:rFonts w:eastAsia="Times New Roman" w:cstheme="minorHAnsi"/>
          <w:sz w:val="24"/>
          <w:szCs w:val="24"/>
        </w:rPr>
      </w:pPr>
      <w:r>
        <w:rPr>
          <w:rFonts w:eastAsia="Times New Roman" w:cstheme="minorHAnsi"/>
          <w:sz w:val="24"/>
          <w:szCs w:val="24"/>
        </w:rPr>
        <w:pict>
          <v:rect id="_x0000_i1026" style="width:0;height:1.5pt" o:hralign="center" o:hrstd="t" o:hr="t" fillcolor="#a0a0a0" stroked="f"/>
        </w:pict>
      </w:r>
    </w:p>
    <w:p w:rsidR="00666B50" w:rsidRPr="00666B50" w:rsidRDefault="00666B50" w:rsidP="00666B50">
      <w:pPr>
        <w:spacing w:after="0" w:line="240" w:lineRule="auto"/>
        <w:rPr>
          <w:rFonts w:eastAsia="Times New Roman" w:cstheme="minorHAnsi"/>
          <w:bCs/>
          <w:color w:val="000000"/>
          <w:sz w:val="24"/>
          <w:szCs w:val="24"/>
        </w:rPr>
      </w:pPr>
    </w:p>
    <w:p w:rsidR="00A71367" w:rsidRPr="0035075B" w:rsidRDefault="00A71367" w:rsidP="00B42314">
      <w:pPr>
        <w:spacing w:after="0" w:line="240" w:lineRule="auto"/>
        <w:rPr>
          <w:rFonts w:eastAsia="Times New Roman" w:cstheme="minorHAnsi"/>
          <w:szCs w:val="24"/>
        </w:rPr>
      </w:pPr>
      <w:r w:rsidRPr="0035075B">
        <w:rPr>
          <w:rFonts w:eastAsia="Times New Roman" w:cstheme="minorHAnsi"/>
          <w:b/>
          <w:bCs/>
          <w:color w:val="000000"/>
          <w:sz w:val="32"/>
          <w:szCs w:val="36"/>
        </w:rPr>
        <w:t>Division III: School District Taxes and Budgets</w:t>
      </w:r>
    </w:p>
    <w:p w:rsidR="00A71367" w:rsidRPr="00BA773E" w:rsidRDefault="00A71367" w:rsidP="00B42314">
      <w:pPr>
        <w:numPr>
          <w:ilvl w:val="0"/>
          <w:numId w:val="6"/>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School Foundation Levy Reduction:</w:t>
      </w:r>
      <w:r w:rsidRPr="00BA773E">
        <w:rPr>
          <w:rFonts w:eastAsia="Times New Roman" w:cstheme="minorHAnsi"/>
          <w:color w:val="000000"/>
          <w:sz w:val="24"/>
          <w:szCs w:val="24"/>
        </w:rPr>
        <w:t xml:space="preserve"> Gradually reduces the school foundation property tax levy from $5.40 to $2.97 per $1,000 by FY 2030.</w:t>
      </w:r>
    </w:p>
    <w:p w:rsidR="00A71367" w:rsidRPr="00BA773E" w:rsidRDefault="00A71367" w:rsidP="00B42314">
      <w:pPr>
        <w:numPr>
          <w:ilvl w:val="0"/>
          <w:numId w:val="6"/>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State Funding Increase:</w:t>
      </w:r>
      <w:r w:rsidRPr="00BA773E">
        <w:rPr>
          <w:rFonts w:eastAsia="Times New Roman" w:cstheme="minorHAnsi"/>
          <w:color w:val="000000"/>
          <w:sz w:val="24"/>
          <w:szCs w:val="24"/>
        </w:rPr>
        <w:t xml:space="preserve"> Increases the state's share of school funding by adjusting the per-pupil foundation base from 88.4% to 100% by FY 2030</w:t>
      </w:r>
      <w:r w:rsidR="00557113">
        <w:rPr>
          <w:rFonts w:eastAsia="Times New Roman" w:cstheme="minorHAnsi"/>
          <w:color w:val="000000"/>
          <w:sz w:val="24"/>
          <w:szCs w:val="24"/>
        </w:rPr>
        <w:t xml:space="preserve"> as well as the Special Ed foundation base (see table below)</w:t>
      </w:r>
      <w:r w:rsidRPr="00BA773E">
        <w:rPr>
          <w:rFonts w:eastAsia="Times New Roman" w:cstheme="minorHAnsi"/>
          <w:color w:val="000000"/>
          <w:sz w:val="24"/>
          <w:szCs w:val="24"/>
        </w:rPr>
        <w:t>. </w:t>
      </w:r>
    </w:p>
    <w:p w:rsidR="00A71367" w:rsidRPr="00BA773E" w:rsidRDefault="00557113" w:rsidP="00B42314">
      <w:pPr>
        <w:numPr>
          <w:ilvl w:val="1"/>
          <w:numId w:val="7"/>
        </w:numPr>
        <w:spacing w:after="0" w:line="240" w:lineRule="auto"/>
        <w:textAlignment w:val="baseline"/>
        <w:rPr>
          <w:rFonts w:eastAsia="Times New Roman" w:cstheme="minorHAnsi"/>
          <w:i/>
          <w:iCs/>
          <w:color w:val="000000"/>
          <w:sz w:val="20"/>
          <w:szCs w:val="20"/>
        </w:rPr>
      </w:pPr>
      <w:r>
        <w:rPr>
          <w:rFonts w:eastAsia="Times New Roman" w:cstheme="minorHAnsi"/>
          <w:i/>
          <w:iCs/>
          <w:color w:val="000000"/>
          <w:sz w:val="24"/>
          <w:szCs w:val="24"/>
        </w:rPr>
        <w:t>D</w:t>
      </w:r>
      <w:r w:rsidRPr="00BA773E">
        <w:rPr>
          <w:rFonts w:eastAsia="Times New Roman" w:cstheme="minorHAnsi"/>
          <w:i/>
          <w:iCs/>
          <w:color w:val="000000"/>
          <w:sz w:val="24"/>
          <w:szCs w:val="24"/>
        </w:rPr>
        <w:t xml:space="preserve">oesn’t </w:t>
      </w:r>
      <w:r w:rsidR="00A71367" w:rsidRPr="00BA773E">
        <w:rPr>
          <w:rFonts w:eastAsia="Times New Roman" w:cstheme="minorHAnsi"/>
          <w:i/>
          <w:iCs/>
          <w:color w:val="000000"/>
          <w:sz w:val="24"/>
          <w:szCs w:val="24"/>
        </w:rPr>
        <w:t>impact budget guarantee, dropout prevention, etc.</w:t>
      </w:r>
      <w:r w:rsidR="00BA773E">
        <w:rPr>
          <w:rFonts w:eastAsia="Times New Roman" w:cstheme="minorHAnsi"/>
          <w:i/>
          <w:iCs/>
          <w:color w:val="000000"/>
          <w:sz w:val="24"/>
          <w:szCs w:val="24"/>
        </w:rPr>
        <w:t xml:space="preserve"> </w:t>
      </w:r>
      <w:r w:rsidR="00A71367" w:rsidRPr="00BA773E">
        <w:rPr>
          <w:rFonts w:eastAsia="Times New Roman" w:cstheme="minorHAnsi"/>
          <w:i/>
          <w:iCs/>
          <w:color w:val="000000"/>
          <w:sz w:val="24"/>
          <w:szCs w:val="24"/>
        </w:rPr>
        <w:t xml:space="preserve">just the </w:t>
      </w:r>
      <w:r>
        <w:rPr>
          <w:rFonts w:eastAsia="Times New Roman" w:cstheme="minorHAnsi"/>
          <w:i/>
          <w:iCs/>
          <w:color w:val="000000"/>
          <w:sz w:val="24"/>
          <w:szCs w:val="24"/>
        </w:rPr>
        <w:t>formula driven component of the Additional Levy.</w:t>
      </w:r>
    </w:p>
    <w:p w:rsidR="00A71367" w:rsidRPr="00BA773E" w:rsidRDefault="00557113" w:rsidP="00B42314">
      <w:pPr>
        <w:numPr>
          <w:ilvl w:val="1"/>
          <w:numId w:val="7"/>
        </w:numPr>
        <w:spacing w:after="0" w:line="240" w:lineRule="auto"/>
        <w:textAlignment w:val="baseline"/>
        <w:rPr>
          <w:rFonts w:eastAsia="Times New Roman" w:cstheme="minorHAnsi"/>
          <w:i/>
          <w:iCs/>
          <w:color w:val="000000"/>
          <w:sz w:val="20"/>
          <w:szCs w:val="20"/>
        </w:rPr>
      </w:pPr>
      <w:r>
        <w:rPr>
          <w:rFonts w:eastAsia="Times New Roman" w:cstheme="minorHAnsi"/>
          <w:i/>
          <w:iCs/>
          <w:color w:val="000000"/>
          <w:sz w:val="24"/>
          <w:szCs w:val="24"/>
        </w:rPr>
        <w:t>W</w:t>
      </w:r>
      <w:r w:rsidRPr="00BA773E">
        <w:rPr>
          <w:rFonts w:eastAsia="Times New Roman" w:cstheme="minorHAnsi"/>
          <w:i/>
          <w:iCs/>
          <w:color w:val="000000"/>
          <w:sz w:val="24"/>
          <w:szCs w:val="24"/>
        </w:rPr>
        <w:t xml:space="preserve">ill </w:t>
      </w:r>
      <w:r w:rsidR="00A71367" w:rsidRPr="00BA773E">
        <w:rPr>
          <w:rFonts w:eastAsia="Times New Roman" w:cstheme="minorHAnsi"/>
          <w:i/>
          <w:iCs/>
          <w:color w:val="000000"/>
          <w:sz w:val="24"/>
          <w:szCs w:val="24"/>
        </w:rPr>
        <w:t>help some residential concentrated valuation districts benefit in ISL capacity</w:t>
      </w:r>
      <w:r>
        <w:rPr>
          <w:rFonts w:eastAsia="Times New Roman" w:cstheme="minorHAnsi"/>
          <w:i/>
          <w:iCs/>
          <w:color w:val="000000"/>
          <w:sz w:val="24"/>
          <w:szCs w:val="24"/>
        </w:rPr>
        <w:t xml:space="preserve"> due to reduced proration of the ISL.</w:t>
      </w:r>
    </w:p>
    <w:p w:rsidR="00A71367" w:rsidRPr="00BA773E" w:rsidRDefault="00557113" w:rsidP="00B42314">
      <w:pPr>
        <w:numPr>
          <w:ilvl w:val="1"/>
          <w:numId w:val="7"/>
        </w:numPr>
        <w:spacing w:after="0" w:line="240" w:lineRule="auto"/>
        <w:textAlignment w:val="baseline"/>
        <w:rPr>
          <w:rFonts w:eastAsia="Times New Roman" w:cstheme="minorHAnsi"/>
          <w:i/>
          <w:iCs/>
          <w:color w:val="000000"/>
          <w:sz w:val="20"/>
          <w:szCs w:val="20"/>
        </w:rPr>
      </w:pPr>
      <w:r>
        <w:rPr>
          <w:rFonts w:eastAsia="Times New Roman" w:cstheme="minorHAnsi"/>
          <w:i/>
          <w:iCs/>
          <w:color w:val="000000"/>
          <w:sz w:val="24"/>
          <w:szCs w:val="24"/>
        </w:rPr>
        <w:t>D</w:t>
      </w:r>
      <w:r w:rsidRPr="00BA773E">
        <w:rPr>
          <w:rFonts w:eastAsia="Times New Roman" w:cstheme="minorHAnsi"/>
          <w:i/>
          <w:iCs/>
          <w:color w:val="000000"/>
          <w:sz w:val="24"/>
          <w:szCs w:val="24"/>
        </w:rPr>
        <w:t xml:space="preserve">oesn’t </w:t>
      </w:r>
      <w:r w:rsidR="00A71367" w:rsidRPr="00BA773E">
        <w:rPr>
          <w:rFonts w:eastAsia="Times New Roman" w:cstheme="minorHAnsi"/>
          <w:i/>
          <w:iCs/>
          <w:color w:val="000000"/>
          <w:sz w:val="24"/>
          <w:szCs w:val="24"/>
        </w:rPr>
        <w:t>help with the 5% constitutional debt limitation.</w:t>
      </w:r>
    </w:p>
    <w:p w:rsidR="00A71367" w:rsidRPr="00BA773E" w:rsidRDefault="00A71367" w:rsidP="00B42314">
      <w:pPr>
        <w:numPr>
          <w:ilvl w:val="0"/>
          <w:numId w:val="7"/>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Equity Adjustments:</w:t>
      </w:r>
      <w:r w:rsidRPr="00BA773E">
        <w:rPr>
          <w:rFonts w:eastAsia="Times New Roman" w:cstheme="minorHAnsi"/>
          <w:color w:val="000000"/>
          <w:sz w:val="24"/>
          <w:szCs w:val="24"/>
        </w:rPr>
        <w:t xml:space="preserve"> Modifies school finance provisions, including tax equity adjustments and property tax relief measures. </w:t>
      </w:r>
    </w:p>
    <w:p w:rsidR="00A71367" w:rsidRPr="005D73AB" w:rsidRDefault="00A71367" w:rsidP="0035075B">
      <w:pPr>
        <w:numPr>
          <w:ilvl w:val="0"/>
          <w:numId w:val="7"/>
        </w:numPr>
        <w:spacing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Reorganization Incentives:</w:t>
      </w:r>
      <w:r w:rsidRPr="00BA773E">
        <w:rPr>
          <w:rFonts w:eastAsia="Times New Roman" w:cstheme="minorHAnsi"/>
          <w:color w:val="000000"/>
          <w:sz w:val="24"/>
          <w:szCs w:val="24"/>
        </w:rPr>
        <w:t xml:space="preserve"> adjust</w:t>
      </w:r>
      <w:r w:rsidR="0035075B">
        <w:rPr>
          <w:rFonts w:eastAsia="Times New Roman" w:cstheme="minorHAnsi"/>
          <w:color w:val="000000"/>
          <w:sz w:val="24"/>
          <w:szCs w:val="24"/>
        </w:rPr>
        <w:t>s</w:t>
      </w:r>
      <w:r w:rsidRPr="00BA773E">
        <w:rPr>
          <w:rFonts w:eastAsia="Times New Roman" w:cstheme="minorHAnsi"/>
          <w:color w:val="000000"/>
          <w:sz w:val="24"/>
          <w:szCs w:val="24"/>
        </w:rPr>
        <w:t xml:space="preserve"> uniform levy down </w:t>
      </w:r>
      <w:r w:rsidR="00F170E2" w:rsidRPr="00BA773E">
        <w:rPr>
          <w:rFonts w:eastAsia="Times New Roman" w:cstheme="minorHAnsi"/>
          <w:color w:val="000000"/>
          <w:sz w:val="24"/>
          <w:szCs w:val="24"/>
        </w:rPr>
        <w:t>from</w:t>
      </w:r>
      <w:r w:rsidRPr="00BA773E">
        <w:rPr>
          <w:rFonts w:eastAsia="Times New Roman" w:cstheme="minorHAnsi"/>
          <w:color w:val="000000"/>
          <w:sz w:val="24"/>
          <w:szCs w:val="24"/>
        </w:rPr>
        <w:t xml:space="preserve"> $2.97</w:t>
      </w:r>
      <w:r w:rsidR="00557113">
        <w:rPr>
          <w:rFonts w:eastAsia="Times New Roman" w:cstheme="minorHAnsi"/>
          <w:color w:val="000000"/>
          <w:sz w:val="24"/>
          <w:szCs w:val="24"/>
        </w:rPr>
        <w:t xml:space="preserve"> to</w:t>
      </w:r>
      <w:r w:rsidRPr="00BA773E">
        <w:rPr>
          <w:rFonts w:eastAsia="Times New Roman" w:cstheme="minorHAnsi"/>
          <w:color w:val="000000"/>
          <w:sz w:val="24"/>
          <w:szCs w:val="24"/>
        </w:rPr>
        <w:t xml:space="preserve"> $2.42</w:t>
      </w:r>
      <w:r w:rsidR="00557113">
        <w:rPr>
          <w:rFonts w:eastAsia="Times New Roman" w:cstheme="minorHAnsi"/>
          <w:color w:val="000000"/>
          <w:sz w:val="24"/>
          <w:szCs w:val="24"/>
        </w:rPr>
        <w:t xml:space="preserve"> (55 cents)</w:t>
      </w:r>
      <w:r w:rsidRPr="00BA773E">
        <w:rPr>
          <w:rFonts w:eastAsia="Times New Roman" w:cstheme="minorHAnsi"/>
          <w:color w:val="000000"/>
          <w:sz w:val="24"/>
          <w:szCs w:val="24"/>
        </w:rPr>
        <w:t xml:space="preserve">. New IC 257.4(2)(c) eliminates the hold harmless state aid supplement for </w:t>
      </w:r>
      <w:r w:rsidR="0035075B">
        <w:rPr>
          <w:rFonts w:eastAsia="Times New Roman" w:cstheme="minorHAnsi"/>
          <w:color w:val="000000"/>
          <w:sz w:val="24"/>
          <w:szCs w:val="24"/>
        </w:rPr>
        <w:t xml:space="preserve">the reorganization </w:t>
      </w:r>
      <w:r w:rsidRPr="00BA773E">
        <w:rPr>
          <w:rFonts w:eastAsia="Times New Roman" w:cstheme="minorHAnsi"/>
          <w:color w:val="000000"/>
          <w:sz w:val="24"/>
          <w:szCs w:val="24"/>
        </w:rPr>
        <w:t>uniform levy reduction beginning 7.1.30 to align with the Senate bill extending reorganization incentives through 2030.</w:t>
      </w:r>
    </w:p>
    <w:p w:rsidR="005D73AB" w:rsidRPr="005D73AB" w:rsidRDefault="005D73AB" w:rsidP="005D73AB">
      <w:pPr>
        <w:numPr>
          <w:ilvl w:val="0"/>
          <w:numId w:val="7"/>
        </w:numPr>
        <w:spacing w:after="0" w:line="240" w:lineRule="auto"/>
        <w:textAlignment w:val="baseline"/>
        <w:rPr>
          <w:rFonts w:eastAsia="Times New Roman" w:cstheme="minorHAnsi"/>
          <w:b/>
          <w:color w:val="000000"/>
          <w:sz w:val="24"/>
          <w:szCs w:val="24"/>
        </w:rPr>
      </w:pPr>
      <w:r w:rsidRPr="005D73AB">
        <w:rPr>
          <w:rFonts w:eastAsia="Times New Roman" w:cstheme="minorHAnsi"/>
          <w:b/>
          <w:bCs/>
          <w:color w:val="000000"/>
          <w:sz w:val="24"/>
          <w:szCs w:val="24"/>
        </w:rPr>
        <w:t>Phase-</w:t>
      </w:r>
      <w:r w:rsidRPr="005D73AB">
        <w:rPr>
          <w:rFonts w:eastAsia="Times New Roman" w:cstheme="minorHAnsi"/>
          <w:b/>
          <w:color w:val="000000"/>
          <w:sz w:val="24"/>
          <w:szCs w:val="24"/>
        </w:rPr>
        <w:t>In Schedule for School Foundation Levy Changes:</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461"/>
      </w:tblGrid>
      <w:tr w:rsidR="005D73AB" w:rsidRPr="00BA773E" w:rsidTr="005D73AB">
        <w:trPr>
          <w:trHeight w:val="601"/>
          <w:jc w:val="center"/>
        </w:trPr>
        <w:tc>
          <w:tcPr>
            <w:tcW w:w="8461" w:type="dxa"/>
            <w:vAlign w:val="center"/>
          </w:tcPr>
          <w:tbl>
            <w:tblPr>
              <w:tblW w:w="8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52"/>
              <w:gridCol w:w="2760"/>
              <w:gridCol w:w="2085"/>
              <w:gridCol w:w="2424"/>
            </w:tblGrid>
            <w:tr w:rsidR="005D73AB" w:rsidRPr="00BA773E" w:rsidTr="005D73AB">
              <w:trPr>
                <w:trHeight w:val="601"/>
                <w:jc w:val="center"/>
              </w:trPr>
              <w:tc>
                <w:tcPr>
                  <w:tcW w:w="1152"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b/>
                      <w:bCs/>
                      <w:color w:val="000000"/>
                      <w:szCs w:val="24"/>
                    </w:rPr>
                    <w:t xml:space="preserve">Fiscal </w:t>
                  </w:r>
                  <w:r>
                    <w:rPr>
                      <w:rFonts w:eastAsia="Times New Roman" w:cstheme="minorHAnsi"/>
                      <w:b/>
                      <w:bCs/>
                      <w:color w:val="000000"/>
                      <w:szCs w:val="24"/>
                    </w:rPr>
                    <w:br/>
                  </w:r>
                  <w:r w:rsidRPr="00BA773E">
                    <w:rPr>
                      <w:rFonts w:eastAsia="Times New Roman" w:cstheme="minorHAnsi"/>
                      <w:b/>
                      <w:bCs/>
                      <w:color w:val="000000"/>
                      <w:szCs w:val="24"/>
                    </w:rPr>
                    <w:t>Year</w:t>
                  </w:r>
                </w:p>
              </w:tc>
              <w:tc>
                <w:tcPr>
                  <w:tcW w:w="2760" w:type="dxa"/>
                  <w:vAlign w:val="center"/>
                  <w:hideMark/>
                </w:tcPr>
                <w:p w:rsidR="0035075B" w:rsidRDefault="005D73AB" w:rsidP="005D73AB">
                  <w:pPr>
                    <w:spacing w:after="0" w:line="240" w:lineRule="auto"/>
                    <w:jc w:val="center"/>
                    <w:rPr>
                      <w:rFonts w:eastAsia="Times New Roman" w:cstheme="minorHAnsi"/>
                      <w:b/>
                      <w:bCs/>
                      <w:color w:val="000000"/>
                      <w:szCs w:val="24"/>
                    </w:rPr>
                  </w:pPr>
                  <w:r w:rsidRPr="00BA773E">
                    <w:rPr>
                      <w:rFonts w:eastAsia="Times New Roman" w:cstheme="minorHAnsi"/>
                      <w:b/>
                      <w:bCs/>
                      <w:color w:val="000000"/>
                      <w:szCs w:val="24"/>
                    </w:rPr>
                    <w:t xml:space="preserve">Foundation Property </w:t>
                  </w:r>
                </w:p>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b/>
                      <w:bCs/>
                      <w:color w:val="000000"/>
                      <w:szCs w:val="24"/>
                    </w:rPr>
                    <w:t>Tax Levy</w:t>
                  </w:r>
                  <w:r>
                    <w:rPr>
                      <w:rFonts w:eastAsia="Times New Roman" w:cstheme="minorHAnsi"/>
                      <w:b/>
                      <w:bCs/>
                      <w:color w:val="000000"/>
                      <w:szCs w:val="24"/>
                    </w:rPr>
                    <w:br/>
                  </w:r>
                  <w:r w:rsidRPr="00BA773E">
                    <w:rPr>
                      <w:rFonts w:eastAsia="Times New Roman" w:cstheme="minorHAnsi"/>
                      <w:b/>
                      <w:bCs/>
                      <w:color w:val="000000"/>
                      <w:szCs w:val="24"/>
                    </w:rPr>
                    <w:t>($ per $1,000)</w:t>
                  </w:r>
                </w:p>
              </w:tc>
              <w:tc>
                <w:tcPr>
                  <w:tcW w:w="2085" w:type="dxa"/>
                  <w:vAlign w:val="center"/>
                  <w:hideMark/>
                </w:tcPr>
                <w:p w:rsidR="0035075B" w:rsidRDefault="005D73AB" w:rsidP="005D73AB">
                  <w:pPr>
                    <w:spacing w:after="0" w:line="240" w:lineRule="auto"/>
                    <w:jc w:val="center"/>
                    <w:rPr>
                      <w:rFonts w:eastAsia="Times New Roman" w:cstheme="minorHAnsi"/>
                      <w:b/>
                      <w:bCs/>
                      <w:color w:val="000000"/>
                      <w:szCs w:val="24"/>
                    </w:rPr>
                  </w:pPr>
                  <w:r w:rsidRPr="00BA773E">
                    <w:rPr>
                      <w:rFonts w:eastAsia="Times New Roman" w:cstheme="minorHAnsi"/>
                      <w:b/>
                      <w:bCs/>
                      <w:color w:val="000000"/>
                      <w:szCs w:val="24"/>
                    </w:rPr>
                    <w:t xml:space="preserve">State Foundation </w:t>
                  </w:r>
                </w:p>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b/>
                      <w:bCs/>
                      <w:color w:val="000000"/>
                      <w:szCs w:val="24"/>
                    </w:rPr>
                    <w:t xml:space="preserve">Base </w:t>
                  </w:r>
                  <w:r>
                    <w:rPr>
                      <w:rFonts w:eastAsia="Times New Roman" w:cstheme="minorHAnsi"/>
                      <w:b/>
                      <w:bCs/>
                      <w:color w:val="000000"/>
                      <w:szCs w:val="24"/>
                    </w:rPr>
                    <w:br/>
                  </w:r>
                  <w:r w:rsidRPr="00BA773E">
                    <w:rPr>
                      <w:rFonts w:eastAsia="Times New Roman" w:cstheme="minorHAnsi"/>
                      <w:b/>
                      <w:bCs/>
                      <w:color w:val="000000"/>
                      <w:szCs w:val="24"/>
                    </w:rPr>
                    <w:t>(%)</w:t>
                  </w:r>
                </w:p>
              </w:tc>
              <w:tc>
                <w:tcPr>
                  <w:tcW w:w="2424"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b/>
                      <w:bCs/>
                      <w:color w:val="000000"/>
                      <w:szCs w:val="24"/>
                    </w:rPr>
                    <w:t xml:space="preserve">Special Education Services </w:t>
                  </w:r>
                  <w:r>
                    <w:rPr>
                      <w:rFonts w:eastAsia="Times New Roman" w:cstheme="minorHAnsi"/>
                      <w:b/>
                      <w:bCs/>
                      <w:color w:val="000000"/>
                      <w:szCs w:val="24"/>
                    </w:rPr>
                    <w:br/>
                  </w:r>
                  <w:r w:rsidRPr="00BA773E">
                    <w:rPr>
                      <w:rFonts w:eastAsia="Times New Roman" w:cstheme="minorHAnsi"/>
                      <w:b/>
                      <w:bCs/>
                      <w:color w:val="000000"/>
                      <w:szCs w:val="24"/>
                    </w:rPr>
                    <w:t xml:space="preserve">Foundation Base </w:t>
                  </w:r>
                  <w:r>
                    <w:rPr>
                      <w:rFonts w:eastAsia="Times New Roman" w:cstheme="minorHAnsi"/>
                      <w:b/>
                      <w:bCs/>
                      <w:color w:val="000000"/>
                      <w:szCs w:val="24"/>
                    </w:rPr>
                    <w:br/>
                  </w:r>
                  <w:r w:rsidRPr="00BA773E">
                    <w:rPr>
                      <w:rFonts w:eastAsia="Times New Roman" w:cstheme="minorHAnsi"/>
                      <w:b/>
                      <w:bCs/>
                      <w:color w:val="000000"/>
                      <w:szCs w:val="24"/>
                    </w:rPr>
                    <w:t>(%)</w:t>
                  </w:r>
                </w:p>
              </w:tc>
            </w:tr>
            <w:tr w:rsidR="005D73AB" w:rsidRPr="00BA773E" w:rsidTr="005D73AB">
              <w:trPr>
                <w:jc w:val="center"/>
              </w:trPr>
              <w:tc>
                <w:tcPr>
                  <w:tcW w:w="1152"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2026</w:t>
                  </w:r>
                </w:p>
              </w:tc>
              <w:tc>
                <w:tcPr>
                  <w:tcW w:w="2760"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$4.90</w:t>
                  </w:r>
                </w:p>
              </w:tc>
              <w:tc>
                <w:tcPr>
                  <w:tcW w:w="2085"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90.72%</w:t>
                  </w:r>
                </w:p>
              </w:tc>
              <w:tc>
                <w:tcPr>
                  <w:tcW w:w="2424"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83.20%</w:t>
                  </w:r>
                </w:p>
              </w:tc>
            </w:tr>
            <w:tr w:rsidR="005D73AB" w:rsidRPr="00BA773E" w:rsidTr="005D73AB">
              <w:trPr>
                <w:jc w:val="center"/>
              </w:trPr>
              <w:tc>
                <w:tcPr>
                  <w:tcW w:w="1152"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2027</w:t>
                  </w:r>
                </w:p>
              </w:tc>
              <w:tc>
                <w:tcPr>
                  <w:tcW w:w="2760"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$4.40</w:t>
                  </w:r>
                </w:p>
              </w:tc>
              <w:tc>
                <w:tcPr>
                  <w:tcW w:w="2085"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93.04%</w:t>
                  </w:r>
                </w:p>
              </w:tc>
              <w:tc>
                <w:tcPr>
                  <w:tcW w:w="2424"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87.40%</w:t>
                  </w:r>
                </w:p>
              </w:tc>
            </w:tr>
            <w:tr w:rsidR="005D73AB" w:rsidRPr="00BA773E" w:rsidTr="005D73AB">
              <w:trPr>
                <w:jc w:val="center"/>
              </w:trPr>
              <w:tc>
                <w:tcPr>
                  <w:tcW w:w="1152"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2028</w:t>
                  </w:r>
                </w:p>
              </w:tc>
              <w:tc>
                <w:tcPr>
                  <w:tcW w:w="2760"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$3.90</w:t>
                  </w:r>
                </w:p>
              </w:tc>
              <w:tc>
                <w:tcPr>
                  <w:tcW w:w="2085"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95.36%</w:t>
                  </w:r>
                </w:p>
              </w:tc>
              <w:tc>
                <w:tcPr>
                  <w:tcW w:w="2424"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91.60%</w:t>
                  </w:r>
                </w:p>
              </w:tc>
            </w:tr>
            <w:tr w:rsidR="005D73AB" w:rsidRPr="00BA773E" w:rsidTr="005D73AB">
              <w:trPr>
                <w:jc w:val="center"/>
              </w:trPr>
              <w:tc>
                <w:tcPr>
                  <w:tcW w:w="1152"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2029</w:t>
                  </w:r>
                </w:p>
              </w:tc>
              <w:tc>
                <w:tcPr>
                  <w:tcW w:w="2760"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$3.40</w:t>
                  </w:r>
                </w:p>
              </w:tc>
              <w:tc>
                <w:tcPr>
                  <w:tcW w:w="2085"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97.68%</w:t>
                  </w:r>
                </w:p>
              </w:tc>
              <w:tc>
                <w:tcPr>
                  <w:tcW w:w="2424"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95.80%</w:t>
                  </w:r>
                </w:p>
              </w:tc>
            </w:tr>
            <w:tr w:rsidR="005D73AB" w:rsidRPr="00BA773E" w:rsidTr="005D73AB">
              <w:trPr>
                <w:jc w:val="center"/>
              </w:trPr>
              <w:tc>
                <w:tcPr>
                  <w:tcW w:w="1152"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2030+</w:t>
                  </w:r>
                </w:p>
              </w:tc>
              <w:tc>
                <w:tcPr>
                  <w:tcW w:w="2760"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$2.97</w:t>
                  </w:r>
                </w:p>
              </w:tc>
              <w:tc>
                <w:tcPr>
                  <w:tcW w:w="2085" w:type="dxa"/>
                  <w:vAlign w:val="center"/>
                  <w:hideMark/>
                </w:tcPr>
                <w:p w:rsidR="005D73AB" w:rsidRPr="00BA773E" w:rsidRDefault="005D73AB" w:rsidP="005D73AB">
                  <w:pPr>
                    <w:spacing w:after="0" w:line="240" w:lineRule="auto"/>
                    <w:jc w:val="center"/>
                    <w:rPr>
                      <w:rFonts w:eastAsia="Times New Roman" w:cstheme="minorHAnsi"/>
                      <w:szCs w:val="24"/>
                    </w:rPr>
                  </w:pPr>
                  <w:r w:rsidRPr="00BA773E">
                    <w:rPr>
                      <w:rFonts w:eastAsia="Times New Roman" w:cstheme="minorHAnsi"/>
                      <w:color w:val="000000"/>
                      <w:szCs w:val="24"/>
                    </w:rPr>
                    <w:t>100.00%</w:t>
                  </w:r>
                </w:p>
              </w:tc>
              <w:tc>
                <w:tcPr>
                  <w:tcW w:w="2424" w:type="dxa"/>
                  <w:vAlign w:val="center"/>
                  <w:hideMark/>
                </w:tcPr>
                <w:p w:rsidR="005D73AB" w:rsidRPr="00BA773E" w:rsidRDefault="005D73AB" w:rsidP="005D73AB">
                  <w:pPr>
                    <w:spacing w:after="0" w:line="240" w:lineRule="auto"/>
                    <w:jc w:val="center"/>
                    <w:rPr>
                      <w:rFonts w:eastAsia="Times New Roman" w:cstheme="minorHAnsi"/>
                      <w:b/>
                      <w:szCs w:val="24"/>
                    </w:rPr>
                  </w:pPr>
                  <w:r w:rsidRPr="00BA773E">
                    <w:rPr>
                      <w:rFonts w:eastAsia="Times New Roman" w:cstheme="minorHAnsi"/>
                      <w:color w:val="000000"/>
                      <w:szCs w:val="24"/>
                    </w:rPr>
                    <w:t>100.00%</w:t>
                  </w:r>
                </w:p>
              </w:tc>
            </w:tr>
          </w:tbl>
          <w:p w:rsidR="005D73AB" w:rsidRPr="00BA773E" w:rsidRDefault="005D73AB" w:rsidP="00B42314">
            <w:pPr>
              <w:spacing w:after="0" w:line="240" w:lineRule="auto"/>
              <w:jc w:val="center"/>
              <w:rPr>
                <w:rFonts w:eastAsia="Times New Roman" w:cstheme="minorHAnsi"/>
                <w:sz w:val="24"/>
                <w:szCs w:val="24"/>
              </w:rPr>
            </w:pPr>
          </w:p>
        </w:tc>
      </w:tr>
    </w:tbl>
    <w:p w:rsidR="00666B50" w:rsidRPr="00666B50" w:rsidRDefault="00666B50" w:rsidP="00666B50">
      <w:pPr>
        <w:spacing w:after="0" w:line="240" w:lineRule="auto"/>
        <w:rPr>
          <w:rFonts w:eastAsia="Times New Roman" w:cstheme="minorHAnsi"/>
          <w:bCs/>
          <w:color w:val="000000"/>
          <w:sz w:val="24"/>
          <w:szCs w:val="24"/>
        </w:rPr>
      </w:pPr>
    </w:p>
    <w:p w:rsidR="00A71367" w:rsidRPr="00BA773E" w:rsidRDefault="007054E5" w:rsidP="00B42314">
      <w:pPr>
        <w:spacing w:after="0" w:line="240" w:lineRule="auto"/>
        <w:rPr>
          <w:rFonts w:eastAsia="Times New Roman" w:cstheme="minorHAnsi"/>
          <w:sz w:val="24"/>
          <w:szCs w:val="24"/>
        </w:rPr>
      </w:pPr>
      <w:r>
        <w:rPr>
          <w:rFonts w:eastAsia="Times New Roman" w:cstheme="minorHAnsi"/>
          <w:sz w:val="24"/>
          <w:szCs w:val="24"/>
        </w:rPr>
        <w:pict>
          <v:rect id="_x0000_i1027" style="width:0;height:1.5pt" o:hralign="center" o:hrstd="t" o:hr="t" fillcolor="#a0a0a0" stroked="f"/>
        </w:pict>
      </w:r>
    </w:p>
    <w:p w:rsidR="00666B50" w:rsidRDefault="00666B50">
      <w:pPr>
        <w:rPr>
          <w:rFonts w:eastAsia="Times New Roman" w:cstheme="minorHAnsi"/>
          <w:b/>
          <w:bCs/>
          <w:color w:val="000000"/>
          <w:sz w:val="36"/>
          <w:szCs w:val="36"/>
        </w:rPr>
      </w:pPr>
    </w:p>
    <w:p w:rsidR="00BE1E8E" w:rsidRDefault="00BE1E8E">
      <w:pPr>
        <w:rPr>
          <w:rFonts w:eastAsia="Times New Roman" w:cstheme="minorHAnsi"/>
          <w:b/>
          <w:bCs/>
          <w:color w:val="000000"/>
          <w:sz w:val="32"/>
          <w:szCs w:val="36"/>
        </w:rPr>
      </w:pPr>
      <w:r>
        <w:rPr>
          <w:rFonts w:eastAsia="Times New Roman" w:cstheme="minorHAnsi"/>
          <w:b/>
          <w:bCs/>
          <w:color w:val="000000"/>
          <w:sz w:val="32"/>
          <w:szCs w:val="36"/>
        </w:rPr>
        <w:br w:type="page"/>
      </w:r>
    </w:p>
    <w:p w:rsidR="00A71367" w:rsidRPr="0035075B" w:rsidRDefault="00A71367" w:rsidP="00B42314">
      <w:pPr>
        <w:spacing w:after="0" w:line="240" w:lineRule="auto"/>
        <w:rPr>
          <w:rFonts w:eastAsia="Times New Roman" w:cstheme="minorHAnsi"/>
          <w:szCs w:val="24"/>
        </w:rPr>
      </w:pPr>
      <w:r w:rsidRPr="0035075B">
        <w:rPr>
          <w:rFonts w:eastAsia="Times New Roman" w:cstheme="minorHAnsi"/>
          <w:b/>
          <w:bCs/>
          <w:color w:val="000000"/>
          <w:sz w:val="32"/>
          <w:szCs w:val="36"/>
        </w:rPr>
        <w:lastRenderedPageBreak/>
        <w:t>Division IV: Property Valuation and Assessment Limitations</w:t>
      </w:r>
    </w:p>
    <w:p w:rsidR="00A71367" w:rsidRPr="00BA773E" w:rsidRDefault="00A71367" w:rsidP="00B42314">
      <w:pPr>
        <w:numPr>
          <w:ilvl w:val="0"/>
          <w:numId w:val="8"/>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Residential Valuation Increases:</w:t>
      </w:r>
      <w:r w:rsidRPr="00BA773E">
        <w:rPr>
          <w:rFonts w:eastAsia="Times New Roman" w:cstheme="minorHAnsi"/>
          <w:color w:val="000000"/>
          <w:sz w:val="24"/>
          <w:szCs w:val="24"/>
        </w:rPr>
        <w:t xml:space="preserve"> Phases in a gradual increase in residential assessment percentages, reaching 100% by 2029. </w:t>
      </w:r>
    </w:p>
    <w:p w:rsidR="00A71367" w:rsidRPr="00BA773E" w:rsidRDefault="00A71367" w:rsidP="00B42314">
      <w:pPr>
        <w:numPr>
          <w:ilvl w:val="0"/>
          <w:numId w:val="8"/>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Commercial and Industrial Valuation Adjustments:</w:t>
      </w:r>
      <w:r w:rsidRPr="00BA773E">
        <w:rPr>
          <w:rFonts w:eastAsia="Times New Roman" w:cstheme="minorHAnsi"/>
          <w:color w:val="000000"/>
          <w:sz w:val="24"/>
          <w:szCs w:val="24"/>
        </w:rPr>
        <w:t xml:space="preserve"> Moves commercial and industrial property to full valuation, reaching 100% by 2029. </w:t>
      </w:r>
    </w:p>
    <w:p w:rsidR="00FD40AF" w:rsidRPr="00BA773E" w:rsidRDefault="00A71367" w:rsidP="00B42314">
      <w:pPr>
        <w:numPr>
          <w:ilvl w:val="0"/>
          <w:numId w:val="8"/>
        </w:numPr>
        <w:spacing w:after="0" w:line="240" w:lineRule="auto"/>
        <w:textAlignment w:val="baseline"/>
        <w:rPr>
          <w:rFonts w:eastAsia="Times New Roman" w:cstheme="minorHAnsi"/>
          <w:sz w:val="24"/>
          <w:szCs w:val="24"/>
        </w:rPr>
      </w:pPr>
      <w:r w:rsidRPr="00BA773E">
        <w:rPr>
          <w:rFonts w:eastAsia="Times New Roman" w:cstheme="minorHAnsi"/>
          <w:b/>
          <w:bCs/>
          <w:color w:val="000000"/>
          <w:sz w:val="24"/>
          <w:szCs w:val="24"/>
        </w:rPr>
        <w:t>Agricultural Property Valuation:</w:t>
      </w:r>
      <w:r w:rsidRPr="00BA773E">
        <w:rPr>
          <w:rFonts w:eastAsia="Times New Roman" w:cstheme="minorHAnsi"/>
          <w:color w:val="000000"/>
          <w:sz w:val="24"/>
          <w:szCs w:val="24"/>
        </w:rPr>
        <w:t xml:space="preserve"> Eliminates assessment limitation percentages and establishes a fixed capitalization rate of 7% for tax assessments based on productivity. </w:t>
      </w:r>
    </w:p>
    <w:p w:rsidR="00A71367" w:rsidRPr="00B25919" w:rsidRDefault="00A71367" w:rsidP="00B25919">
      <w:pPr>
        <w:pStyle w:val="ListParagraph"/>
        <w:numPr>
          <w:ilvl w:val="0"/>
          <w:numId w:val="8"/>
        </w:numPr>
        <w:spacing w:after="0" w:line="240" w:lineRule="auto"/>
        <w:textAlignment w:val="baseline"/>
        <w:rPr>
          <w:rFonts w:eastAsia="Times New Roman" w:cstheme="minorHAnsi"/>
          <w:b/>
          <w:bCs/>
          <w:color w:val="000000"/>
          <w:sz w:val="24"/>
          <w:szCs w:val="24"/>
        </w:rPr>
      </w:pPr>
      <w:r w:rsidRPr="00B25919">
        <w:rPr>
          <w:rFonts w:eastAsia="Times New Roman" w:cstheme="minorHAnsi"/>
          <w:b/>
          <w:bCs/>
          <w:color w:val="000000"/>
          <w:sz w:val="24"/>
          <w:szCs w:val="24"/>
        </w:rPr>
        <w:t>Phase-In Schedule for Property Valuation Adjustments: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00"/>
        <w:gridCol w:w="1762"/>
        <w:gridCol w:w="2063"/>
        <w:gridCol w:w="2060"/>
      </w:tblGrid>
      <w:tr w:rsidR="00A71367" w:rsidRPr="00BA773E" w:rsidTr="0035075B">
        <w:trPr>
          <w:jc w:val="center"/>
        </w:trPr>
        <w:tc>
          <w:tcPr>
            <w:tcW w:w="1800" w:type="dxa"/>
            <w:vAlign w:val="center"/>
            <w:hideMark/>
          </w:tcPr>
          <w:p w:rsidR="00A71367" w:rsidRPr="00BA773E" w:rsidRDefault="00A71367" w:rsidP="00B25919">
            <w:pPr>
              <w:spacing w:after="0" w:line="240" w:lineRule="auto"/>
              <w:ind w:left="-378" w:firstLine="378"/>
              <w:jc w:val="center"/>
              <w:rPr>
                <w:rFonts w:eastAsia="Times New Roman" w:cstheme="minorHAnsi"/>
                <w:b/>
                <w:sz w:val="24"/>
                <w:szCs w:val="24"/>
              </w:rPr>
            </w:pPr>
            <w:r w:rsidRPr="00BA773E">
              <w:rPr>
                <w:rFonts w:eastAsia="Times New Roman" w:cstheme="minorHAnsi"/>
                <w:b/>
                <w:color w:val="000000"/>
                <w:sz w:val="24"/>
                <w:szCs w:val="24"/>
              </w:rPr>
              <w:t xml:space="preserve">Assessment </w:t>
            </w:r>
            <w:r w:rsidR="00B25919">
              <w:rPr>
                <w:rFonts w:eastAsia="Times New Roman" w:cstheme="minorHAnsi"/>
                <w:b/>
                <w:color w:val="000000"/>
                <w:sz w:val="24"/>
                <w:szCs w:val="24"/>
              </w:rPr>
              <w:br/>
            </w:r>
            <w:r w:rsidRPr="00BA773E">
              <w:rPr>
                <w:rFonts w:eastAsia="Times New Roman" w:cstheme="minorHAnsi"/>
                <w:b/>
                <w:color w:val="000000"/>
                <w:sz w:val="24"/>
                <w:szCs w:val="24"/>
              </w:rPr>
              <w:t>Year</w:t>
            </w:r>
          </w:p>
        </w:tc>
        <w:tc>
          <w:tcPr>
            <w:tcW w:w="1762" w:type="dxa"/>
            <w:vAlign w:val="center"/>
            <w:hideMark/>
          </w:tcPr>
          <w:p w:rsidR="00A71367" w:rsidRPr="00BA773E" w:rsidRDefault="00B25919" w:rsidP="00B25919">
            <w:pPr>
              <w:spacing w:after="0" w:line="240" w:lineRule="auto"/>
              <w:ind w:left="-18" w:firstLine="18"/>
              <w:jc w:val="center"/>
              <w:rPr>
                <w:rFonts w:eastAsia="Times New Roman" w:cstheme="minorHAnsi"/>
                <w:b/>
                <w:sz w:val="24"/>
                <w:szCs w:val="24"/>
              </w:rPr>
            </w:pPr>
            <w:r>
              <w:rPr>
                <w:rFonts w:eastAsia="Times New Roman" w:cstheme="minorHAnsi"/>
                <w:b/>
                <w:color w:val="000000"/>
                <w:sz w:val="24"/>
                <w:szCs w:val="24"/>
              </w:rPr>
              <w:t>Residential</w:t>
            </w:r>
            <w:r w:rsidR="0090324C" w:rsidRPr="00BA773E">
              <w:rPr>
                <w:rFonts w:eastAsia="Times New Roman" w:cstheme="minorHAnsi"/>
                <w:b/>
                <w:color w:val="000000"/>
                <w:sz w:val="24"/>
                <w:szCs w:val="24"/>
              </w:rPr>
              <w:br/>
            </w:r>
            <w:r w:rsidR="00A71367" w:rsidRPr="00BA773E">
              <w:rPr>
                <w:rFonts w:eastAsia="Times New Roman" w:cstheme="minorHAnsi"/>
                <w:b/>
                <w:color w:val="000000"/>
                <w:sz w:val="24"/>
                <w:szCs w:val="24"/>
              </w:rPr>
              <w:t>Property (%)</w:t>
            </w:r>
          </w:p>
        </w:tc>
        <w:tc>
          <w:tcPr>
            <w:tcW w:w="2063" w:type="dxa"/>
            <w:vAlign w:val="center"/>
            <w:hideMark/>
          </w:tcPr>
          <w:p w:rsidR="00A71367" w:rsidRPr="00BA773E" w:rsidRDefault="00A71367" w:rsidP="00B25919">
            <w:pPr>
              <w:spacing w:after="0" w:line="240" w:lineRule="auto"/>
              <w:ind w:firstLine="24"/>
              <w:jc w:val="center"/>
              <w:rPr>
                <w:rFonts w:eastAsia="Times New Roman" w:cstheme="minorHAnsi"/>
                <w:b/>
                <w:sz w:val="24"/>
                <w:szCs w:val="24"/>
              </w:rPr>
            </w:pPr>
            <w:r w:rsidRPr="00BA773E">
              <w:rPr>
                <w:rFonts w:eastAsia="Times New Roman" w:cstheme="minorHAnsi"/>
                <w:b/>
                <w:color w:val="000000"/>
                <w:sz w:val="24"/>
                <w:szCs w:val="24"/>
              </w:rPr>
              <w:t xml:space="preserve">Commercial &amp; </w:t>
            </w:r>
            <w:r w:rsidR="0090324C" w:rsidRPr="00BA773E">
              <w:rPr>
                <w:rFonts w:eastAsia="Times New Roman" w:cstheme="minorHAnsi"/>
                <w:b/>
                <w:color w:val="000000"/>
                <w:sz w:val="24"/>
                <w:szCs w:val="24"/>
              </w:rPr>
              <w:br/>
            </w:r>
            <w:r w:rsidRPr="00BA773E">
              <w:rPr>
                <w:rFonts w:eastAsia="Times New Roman" w:cstheme="minorHAnsi"/>
                <w:b/>
                <w:color w:val="000000"/>
                <w:sz w:val="24"/>
                <w:szCs w:val="24"/>
              </w:rPr>
              <w:t>Industrial (%)</w:t>
            </w:r>
          </w:p>
        </w:tc>
        <w:tc>
          <w:tcPr>
            <w:tcW w:w="2060" w:type="dxa"/>
            <w:vAlign w:val="center"/>
            <w:hideMark/>
          </w:tcPr>
          <w:p w:rsidR="00A71367" w:rsidRPr="00BA773E" w:rsidRDefault="00A71367" w:rsidP="00B25919">
            <w:pPr>
              <w:spacing w:after="0" w:line="240" w:lineRule="auto"/>
              <w:jc w:val="center"/>
              <w:rPr>
                <w:rFonts w:eastAsia="Times New Roman" w:cstheme="minorHAnsi"/>
                <w:b/>
                <w:sz w:val="24"/>
                <w:szCs w:val="24"/>
              </w:rPr>
            </w:pPr>
            <w:r w:rsidRPr="00BA773E">
              <w:rPr>
                <w:rFonts w:eastAsia="Times New Roman" w:cstheme="minorHAnsi"/>
                <w:b/>
                <w:color w:val="000000"/>
                <w:sz w:val="24"/>
                <w:szCs w:val="24"/>
              </w:rPr>
              <w:t xml:space="preserve">Agricultural </w:t>
            </w:r>
            <w:r w:rsidR="0090324C" w:rsidRPr="00BA773E">
              <w:rPr>
                <w:rFonts w:eastAsia="Times New Roman" w:cstheme="minorHAnsi"/>
                <w:b/>
                <w:color w:val="000000"/>
                <w:sz w:val="24"/>
                <w:szCs w:val="24"/>
              </w:rPr>
              <w:br/>
            </w:r>
            <w:r w:rsidRPr="00BA773E">
              <w:rPr>
                <w:rFonts w:eastAsia="Times New Roman" w:cstheme="minorHAnsi"/>
                <w:b/>
                <w:color w:val="000000"/>
                <w:sz w:val="24"/>
                <w:szCs w:val="24"/>
              </w:rPr>
              <w:t>(%)</w:t>
            </w:r>
          </w:p>
        </w:tc>
      </w:tr>
      <w:tr w:rsidR="00A71367" w:rsidRPr="00BA773E" w:rsidTr="0035075B">
        <w:trPr>
          <w:jc w:val="center"/>
        </w:trPr>
        <w:tc>
          <w:tcPr>
            <w:tcW w:w="180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2025</w:t>
            </w:r>
          </w:p>
        </w:tc>
        <w:tc>
          <w:tcPr>
            <w:tcW w:w="1762"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57.94%</w:t>
            </w:r>
          </w:p>
        </w:tc>
        <w:tc>
          <w:tcPr>
            <w:tcW w:w="2063"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92%</w:t>
            </w:r>
          </w:p>
        </w:tc>
        <w:tc>
          <w:tcPr>
            <w:tcW w:w="206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90%</w:t>
            </w:r>
          </w:p>
        </w:tc>
      </w:tr>
      <w:tr w:rsidR="00A71367" w:rsidRPr="00BA773E" w:rsidTr="0035075B">
        <w:trPr>
          <w:jc w:val="center"/>
        </w:trPr>
        <w:tc>
          <w:tcPr>
            <w:tcW w:w="180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2026</w:t>
            </w:r>
          </w:p>
        </w:tc>
        <w:tc>
          <w:tcPr>
            <w:tcW w:w="1762"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68.49%</w:t>
            </w:r>
          </w:p>
        </w:tc>
        <w:tc>
          <w:tcPr>
            <w:tcW w:w="2063"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94%</w:t>
            </w:r>
          </w:p>
        </w:tc>
        <w:tc>
          <w:tcPr>
            <w:tcW w:w="206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92%</w:t>
            </w:r>
          </w:p>
        </w:tc>
      </w:tr>
      <w:tr w:rsidR="00A71367" w:rsidRPr="00BA773E" w:rsidTr="0035075B">
        <w:trPr>
          <w:jc w:val="center"/>
        </w:trPr>
        <w:tc>
          <w:tcPr>
            <w:tcW w:w="180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2027</w:t>
            </w:r>
          </w:p>
        </w:tc>
        <w:tc>
          <w:tcPr>
            <w:tcW w:w="1762"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78.97%</w:t>
            </w:r>
          </w:p>
        </w:tc>
        <w:tc>
          <w:tcPr>
            <w:tcW w:w="2063"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96%</w:t>
            </w:r>
          </w:p>
        </w:tc>
        <w:tc>
          <w:tcPr>
            <w:tcW w:w="206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94%</w:t>
            </w:r>
          </w:p>
        </w:tc>
      </w:tr>
      <w:tr w:rsidR="00A71367" w:rsidRPr="00BA773E" w:rsidTr="0035075B">
        <w:trPr>
          <w:jc w:val="center"/>
        </w:trPr>
        <w:tc>
          <w:tcPr>
            <w:tcW w:w="180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2028</w:t>
            </w:r>
          </w:p>
        </w:tc>
        <w:tc>
          <w:tcPr>
            <w:tcW w:w="1762"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89.49%</w:t>
            </w:r>
          </w:p>
        </w:tc>
        <w:tc>
          <w:tcPr>
            <w:tcW w:w="2063"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98%</w:t>
            </w:r>
          </w:p>
        </w:tc>
        <w:tc>
          <w:tcPr>
            <w:tcW w:w="206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96%</w:t>
            </w:r>
          </w:p>
        </w:tc>
      </w:tr>
      <w:tr w:rsidR="00A71367" w:rsidRPr="00BA773E" w:rsidTr="0035075B">
        <w:trPr>
          <w:jc w:val="center"/>
        </w:trPr>
        <w:tc>
          <w:tcPr>
            <w:tcW w:w="180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2029+</w:t>
            </w:r>
          </w:p>
        </w:tc>
        <w:tc>
          <w:tcPr>
            <w:tcW w:w="1762"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100</w:t>
            </w:r>
            <w:r w:rsidR="00557113">
              <w:rPr>
                <w:rFonts w:eastAsia="Times New Roman" w:cstheme="minorHAnsi"/>
                <w:color w:val="000000"/>
                <w:sz w:val="24"/>
                <w:szCs w:val="24"/>
              </w:rPr>
              <w:t>.00</w:t>
            </w:r>
            <w:r w:rsidRPr="00BA773E">
              <w:rPr>
                <w:rFonts w:eastAsia="Times New Roman" w:cstheme="minorHAnsi"/>
                <w:color w:val="000000"/>
                <w:sz w:val="24"/>
                <w:szCs w:val="24"/>
              </w:rPr>
              <w:t>%</w:t>
            </w:r>
          </w:p>
        </w:tc>
        <w:tc>
          <w:tcPr>
            <w:tcW w:w="2063"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100%</w:t>
            </w:r>
          </w:p>
        </w:tc>
        <w:tc>
          <w:tcPr>
            <w:tcW w:w="2060" w:type="dxa"/>
            <w:vAlign w:val="center"/>
            <w:hideMark/>
          </w:tcPr>
          <w:p w:rsidR="00A71367" w:rsidRPr="00BA773E" w:rsidRDefault="00A71367" w:rsidP="00B25919">
            <w:pPr>
              <w:spacing w:after="0" w:line="240" w:lineRule="auto"/>
              <w:ind w:left="-378" w:firstLine="378"/>
              <w:jc w:val="center"/>
              <w:rPr>
                <w:rFonts w:eastAsia="Times New Roman" w:cstheme="minorHAnsi"/>
                <w:sz w:val="24"/>
                <w:szCs w:val="24"/>
              </w:rPr>
            </w:pPr>
            <w:r w:rsidRPr="00BA773E">
              <w:rPr>
                <w:rFonts w:eastAsia="Times New Roman" w:cstheme="minorHAnsi"/>
                <w:color w:val="000000"/>
                <w:sz w:val="24"/>
                <w:szCs w:val="24"/>
              </w:rPr>
              <w:t>100%</w:t>
            </w:r>
          </w:p>
        </w:tc>
      </w:tr>
    </w:tbl>
    <w:p w:rsidR="00666B50" w:rsidRPr="00666B50" w:rsidRDefault="00666B50" w:rsidP="00666B50">
      <w:pPr>
        <w:spacing w:after="0" w:line="240" w:lineRule="auto"/>
        <w:rPr>
          <w:rFonts w:eastAsia="Times New Roman" w:cstheme="minorHAnsi"/>
          <w:bCs/>
          <w:color w:val="000000"/>
          <w:sz w:val="24"/>
          <w:szCs w:val="24"/>
        </w:rPr>
      </w:pPr>
    </w:p>
    <w:p w:rsidR="00A71367" w:rsidRPr="00BA773E" w:rsidRDefault="007054E5" w:rsidP="00B42314">
      <w:pPr>
        <w:spacing w:after="0" w:line="240" w:lineRule="auto"/>
        <w:rPr>
          <w:rFonts w:eastAsia="Times New Roman" w:cstheme="minorHAnsi"/>
          <w:sz w:val="24"/>
          <w:szCs w:val="24"/>
        </w:rPr>
      </w:pPr>
      <w:r>
        <w:rPr>
          <w:rFonts w:eastAsia="Times New Roman" w:cstheme="minorHAnsi"/>
          <w:sz w:val="24"/>
          <w:szCs w:val="24"/>
        </w:rPr>
        <w:pict>
          <v:rect id="_x0000_i1028" style="width:0;height:1.5pt" o:hralign="center" o:hrstd="t" o:hr="t" fillcolor="#a0a0a0" stroked="f"/>
        </w:pict>
      </w:r>
    </w:p>
    <w:p w:rsidR="00A71367" w:rsidRPr="006B460B" w:rsidRDefault="00A71367" w:rsidP="006B460B">
      <w:pPr>
        <w:spacing w:before="240" w:after="0" w:line="240" w:lineRule="auto"/>
        <w:rPr>
          <w:rFonts w:eastAsia="Times New Roman" w:cstheme="minorHAnsi"/>
          <w:szCs w:val="24"/>
        </w:rPr>
      </w:pPr>
      <w:r w:rsidRPr="006B460B">
        <w:rPr>
          <w:rFonts w:eastAsia="Times New Roman" w:cstheme="minorHAnsi"/>
          <w:b/>
          <w:bCs/>
          <w:color w:val="000000"/>
          <w:sz w:val="32"/>
          <w:szCs w:val="36"/>
        </w:rPr>
        <w:t>Division V: School District Management Fund Changes</w:t>
      </w:r>
    </w:p>
    <w:p w:rsidR="00A71367" w:rsidRPr="00BA773E" w:rsidRDefault="00A71367" w:rsidP="00B42314">
      <w:pPr>
        <w:numPr>
          <w:ilvl w:val="0"/>
          <w:numId w:val="9"/>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Fund Balance Limits:</w:t>
      </w:r>
      <w:r w:rsidRPr="00BA773E">
        <w:rPr>
          <w:rFonts w:eastAsia="Times New Roman" w:cstheme="minorHAnsi"/>
          <w:color w:val="000000"/>
          <w:sz w:val="24"/>
          <w:szCs w:val="24"/>
        </w:rPr>
        <w:t xml:space="preserve"> Establishes limits on school district management fund balances.</w:t>
      </w:r>
    </w:p>
    <w:p w:rsidR="00A71367" w:rsidRPr="00BA773E" w:rsidRDefault="00A71367" w:rsidP="00B42314">
      <w:pPr>
        <w:numPr>
          <w:ilvl w:val="0"/>
          <w:numId w:val="9"/>
        </w:numPr>
        <w:spacing w:after="0" w:line="240" w:lineRule="auto"/>
        <w:textAlignment w:val="baseline"/>
        <w:rPr>
          <w:rFonts w:eastAsia="Times New Roman" w:cstheme="minorHAnsi"/>
          <w:i/>
          <w:color w:val="000000"/>
          <w:sz w:val="20"/>
          <w:szCs w:val="20"/>
        </w:rPr>
      </w:pPr>
      <w:r w:rsidRPr="00BA773E">
        <w:rPr>
          <w:rFonts w:eastAsia="Times New Roman" w:cstheme="minorHAnsi"/>
          <w:b/>
          <w:bCs/>
          <w:color w:val="000000"/>
          <w:sz w:val="24"/>
          <w:szCs w:val="24"/>
        </w:rPr>
        <w:t>Mandatory Reporting</w:t>
      </w:r>
      <w:r w:rsidR="00FD40AF" w:rsidRPr="00BA773E">
        <w:rPr>
          <w:rFonts w:eastAsia="Times New Roman" w:cstheme="minorHAnsi"/>
          <w:b/>
          <w:bCs/>
          <w:color w:val="000000"/>
          <w:sz w:val="24"/>
          <w:szCs w:val="24"/>
        </w:rPr>
        <w:t xml:space="preserve"> and SBRC Review</w:t>
      </w:r>
      <w:r w:rsidRPr="00BA773E">
        <w:rPr>
          <w:rFonts w:eastAsia="Times New Roman" w:cstheme="minorHAnsi"/>
          <w:b/>
          <w:bCs/>
          <w:color w:val="000000"/>
          <w:sz w:val="24"/>
          <w:szCs w:val="24"/>
        </w:rPr>
        <w:t>:</w:t>
      </w:r>
      <w:r w:rsidRPr="00BA773E">
        <w:rPr>
          <w:rFonts w:eastAsia="Times New Roman" w:cstheme="minorHAnsi"/>
          <w:color w:val="000000"/>
          <w:sz w:val="24"/>
          <w:szCs w:val="24"/>
        </w:rPr>
        <w:t xml:space="preserve"> </w:t>
      </w:r>
      <w:r w:rsidR="00FD40AF" w:rsidRPr="00BA773E">
        <w:rPr>
          <w:rFonts w:eastAsia="Times New Roman" w:cstheme="minorHAnsi"/>
          <w:color w:val="000000"/>
          <w:sz w:val="24"/>
          <w:szCs w:val="24"/>
        </w:rPr>
        <w:t>Requires districts to</w:t>
      </w:r>
      <w:r w:rsidRPr="00BA773E">
        <w:rPr>
          <w:rFonts w:eastAsia="Times New Roman" w:cstheme="minorHAnsi"/>
          <w:color w:val="000000"/>
          <w:sz w:val="24"/>
          <w:szCs w:val="24"/>
        </w:rPr>
        <w:t xml:space="preserve"> report all FY 2025 unexpended fund balances by Nov</w:t>
      </w:r>
      <w:r w:rsidR="00FD40AF" w:rsidRPr="00BA773E">
        <w:rPr>
          <w:rFonts w:eastAsia="Times New Roman" w:cstheme="minorHAnsi"/>
          <w:color w:val="000000"/>
          <w:sz w:val="24"/>
          <w:szCs w:val="24"/>
        </w:rPr>
        <w:t>.</w:t>
      </w:r>
      <w:r w:rsidRPr="00BA773E">
        <w:rPr>
          <w:rFonts w:eastAsia="Times New Roman" w:cstheme="minorHAnsi"/>
          <w:color w:val="000000"/>
          <w:sz w:val="24"/>
          <w:szCs w:val="24"/>
        </w:rPr>
        <w:t xml:space="preserve"> 15, 2025. </w:t>
      </w:r>
      <w:r w:rsidR="00FD40AF" w:rsidRPr="00BA773E">
        <w:rPr>
          <w:rFonts w:eastAsia="Times New Roman" w:cstheme="minorHAnsi"/>
          <w:color w:val="000000"/>
          <w:sz w:val="24"/>
          <w:szCs w:val="24"/>
        </w:rPr>
        <w:t xml:space="preserve">Requires </w:t>
      </w:r>
      <w:r w:rsidRPr="00BA773E">
        <w:rPr>
          <w:rFonts w:eastAsia="Times New Roman" w:cstheme="minorHAnsi"/>
          <w:color w:val="000000"/>
          <w:sz w:val="24"/>
          <w:szCs w:val="24"/>
        </w:rPr>
        <w:t>SBRC to evaluate balances</w:t>
      </w:r>
      <w:r w:rsidR="00FD40AF" w:rsidRPr="00BA773E">
        <w:rPr>
          <w:rFonts w:eastAsia="Times New Roman" w:cstheme="minorHAnsi"/>
          <w:color w:val="000000"/>
          <w:sz w:val="24"/>
          <w:szCs w:val="24"/>
        </w:rPr>
        <w:t xml:space="preserve"> and expenditures, consult with school boards and others to determine the appropriateness of establishing unexpended fund balance limitations for the management fund. The SBRC is required to</w:t>
      </w:r>
      <w:r w:rsidRPr="00BA773E">
        <w:rPr>
          <w:rFonts w:eastAsia="Times New Roman" w:cstheme="minorHAnsi"/>
          <w:color w:val="000000"/>
          <w:sz w:val="24"/>
          <w:szCs w:val="24"/>
        </w:rPr>
        <w:t xml:space="preserve"> make recommendations to the </w:t>
      </w:r>
      <w:r w:rsidR="00FD40AF" w:rsidRPr="00BA773E">
        <w:rPr>
          <w:rFonts w:eastAsia="Times New Roman" w:cstheme="minorHAnsi"/>
          <w:color w:val="000000"/>
          <w:sz w:val="24"/>
          <w:szCs w:val="24"/>
        </w:rPr>
        <w:t>G</w:t>
      </w:r>
      <w:r w:rsidRPr="00BA773E">
        <w:rPr>
          <w:rFonts w:eastAsia="Times New Roman" w:cstheme="minorHAnsi"/>
          <w:color w:val="000000"/>
          <w:sz w:val="24"/>
          <w:szCs w:val="24"/>
        </w:rPr>
        <w:t xml:space="preserve">eneral </w:t>
      </w:r>
      <w:r w:rsidR="00FD40AF" w:rsidRPr="00BA773E">
        <w:rPr>
          <w:rFonts w:eastAsia="Times New Roman" w:cstheme="minorHAnsi"/>
          <w:color w:val="000000"/>
          <w:sz w:val="24"/>
          <w:szCs w:val="24"/>
        </w:rPr>
        <w:t>A</w:t>
      </w:r>
      <w:r w:rsidRPr="00BA773E">
        <w:rPr>
          <w:rFonts w:eastAsia="Times New Roman" w:cstheme="minorHAnsi"/>
          <w:color w:val="000000"/>
          <w:sz w:val="24"/>
          <w:szCs w:val="24"/>
        </w:rPr>
        <w:t xml:space="preserve">ssembly </w:t>
      </w:r>
      <w:r w:rsidR="00FD40AF" w:rsidRPr="00BA773E">
        <w:rPr>
          <w:rFonts w:eastAsia="Times New Roman" w:cstheme="minorHAnsi"/>
          <w:color w:val="000000"/>
          <w:sz w:val="24"/>
          <w:szCs w:val="24"/>
        </w:rPr>
        <w:t>by Feb. 1, 2026 for Fiscal Years beginning on and after July 1, 2027.</w:t>
      </w:r>
      <w:r w:rsidR="00BA773E">
        <w:rPr>
          <w:rFonts w:eastAsia="Times New Roman" w:cstheme="minorHAnsi"/>
          <w:color w:val="000000"/>
          <w:sz w:val="24"/>
          <w:szCs w:val="24"/>
        </w:rPr>
        <w:t xml:space="preserve"> </w:t>
      </w:r>
      <w:r w:rsidR="00FD40AF" w:rsidRPr="00BA773E">
        <w:rPr>
          <w:rFonts w:eastAsia="Times New Roman" w:cstheme="minorHAnsi"/>
          <w:color w:val="000000"/>
          <w:sz w:val="24"/>
          <w:szCs w:val="24"/>
        </w:rPr>
        <w:t xml:space="preserve">Sets the based year for calculating average expenditures and unspent balance percentages as FY 2025. </w:t>
      </w:r>
      <w:r w:rsidR="00FD40AF" w:rsidRPr="00BA773E">
        <w:rPr>
          <w:rFonts w:eastAsia="Times New Roman" w:cstheme="minorHAnsi"/>
          <w:i/>
          <w:color w:val="000000"/>
          <w:sz w:val="24"/>
          <w:szCs w:val="24"/>
        </w:rPr>
        <w:t>(note: FY 2026 management fund levies are already set since school districts sent budgets to counties on March 5 for reporting purposes.)</w:t>
      </w:r>
      <w:r w:rsidRPr="00BA773E">
        <w:rPr>
          <w:rFonts w:eastAsia="Times New Roman" w:cstheme="minorHAnsi"/>
          <w:i/>
          <w:color w:val="000000"/>
          <w:sz w:val="24"/>
          <w:szCs w:val="24"/>
        </w:rPr>
        <w:t> </w:t>
      </w:r>
    </w:p>
    <w:p w:rsidR="00B42314" w:rsidRDefault="00A71367" w:rsidP="00B42314">
      <w:pPr>
        <w:numPr>
          <w:ilvl w:val="0"/>
          <w:numId w:val="9"/>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Phased Reduction of Allowable Fund Balances:</w:t>
      </w:r>
      <w:r w:rsidRPr="00BA773E">
        <w:rPr>
          <w:rFonts w:eastAsia="Times New Roman" w:cstheme="minorHAnsi"/>
          <w:color w:val="000000"/>
          <w:sz w:val="24"/>
          <w:szCs w:val="24"/>
        </w:rPr>
        <w:t xml:space="preserve"> Sets a progressive limit on fund balances over multiple years to gradually reduce excessive reserves.</w:t>
      </w:r>
    </w:p>
    <w:p w:rsidR="00A71367" w:rsidRPr="00B42314" w:rsidRDefault="00A71367" w:rsidP="00B42314">
      <w:pPr>
        <w:numPr>
          <w:ilvl w:val="0"/>
          <w:numId w:val="9"/>
        </w:numPr>
        <w:spacing w:after="0" w:line="240" w:lineRule="auto"/>
        <w:textAlignment w:val="baseline"/>
        <w:rPr>
          <w:rFonts w:eastAsia="Times New Roman" w:cstheme="minorHAnsi"/>
          <w:color w:val="000000"/>
          <w:sz w:val="20"/>
          <w:szCs w:val="20"/>
        </w:rPr>
      </w:pPr>
      <w:r w:rsidRPr="00B42314">
        <w:rPr>
          <w:rFonts w:eastAsia="Times New Roman" w:cstheme="minorHAnsi"/>
          <w:b/>
          <w:bCs/>
          <w:color w:val="000000"/>
          <w:sz w:val="24"/>
          <w:szCs w:val="24"/>
        </w:rPr>
        <w:t>Phase-In Schedule for Maximum Management Fund Balances: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4350"/>
      </w:tblGrid>
      <w:tr w:rsidR="00A71367" w:rsidRPr="00BA773E" w:rsidTr="0035075B">
        <w:trPr>
          <w:tblHeader/>
          <w:jc w:val="center"/>
        </w:trPr>
        <w:tc>
          <w:tcPr>
            <w:tcW w:w="1710" w:type="dxa"/>
            <w:vAlign w:val="center"/>
            <w:hideMark/>
          </w:tcPr>
          <w:p w:rsidR="00A71367" w:rsidRPr="00BA773E" w:rsidRDefault="00A71367" w:rsidP="00B25919">
            <w:pPr>
              <w:spacing w:after="0" w:line="240" w:lineRule="auto"/>
              <w:jc w:val="center"/>
              <w:rPr>
                <w:rFonts w:eastAsia="Times New Roman" w:cstheme="minorHAnsi"/>
                <w:b/>
                <w:bCs/>
                <w:sz w:val="24"/>
                <w:szCs w:val="24"/>
              </w:rPr>
            </w:pPr>
            <w:r w:rsidRPr="00BA773E">
              <w:rPr>
                <w:rFonts w:eastAsia="Times New Roman" w:cstheme="minorHAnsi"/>
                <w:color w:val="000000"/>
                <w:sz w:val="24"/>
                <w:szCs w:val="24"/>
              </w:rPr>
              <w:t>Fiscal Year</w:t>
            </w:r>
          </w:p>
        </w:tc>
        <w:tc>
          <w:tcPr>
            <w:tcW w:w="4350" w:type="dxa"/>
            <w:vAlign w:val="center"/>
            <w:hideMark/>
          </w:tcPr>
          <w:p w:rsidR="00A71367" w:rsidRPr="00BA773E" w:rsidRDefault="00A71367" w:rsidP="00B25919">
            <w:pPr>
              <w:spacing w:after="0" w:line="240" w:lineRule="auto"/>
              <w:jc w:val="center"/>
              <w:rPr>
                <w:rFonts w:eastAsia="Times New Roman" w:cstheme="minorHAnsi"/>
                <w:b/>
                <w:bCs/>
                <w:sz w:val="24"/>
                <w:szCs w:val="24"/>
              </w:rPr>
            </w:pPr>
            <w:r w:rsidRPr="00BA773E">
              <w:rPr>
                <w:rFonts w:eastAsia="Times New Roman" w:cstheme="minorHAnsi"/>
                <w:color w:val="000000"/>
                <w:sz w:val="24"/>
                <w:szCs w:val="24"/>
              </w:rPr>
              <w:t xml:space="preserve">Maximum Allowable Fund Balance </w:t>
            </w:r>
            <w:r w:rsidR="00B25919">
              <w:rPr>
                <w:rFonts w:eastAsia="Times New Roman" w:cstheme="minorHAnsi"/>
                <w:color w:val="000000"/>
                <w:sz w:val="24"/>
                <w:szCs w:val="24"/>
              </w:rPr>
              <w:br/>
            </w:r>
            <w:r w:rsidRPr="00BA773E">
              <w:rPr>
                <w:rFonts w:eastAsia="Times New Roman" w:cstheme="minorHAnsi"/>
                <w:color w:val="000000"/>
                <w:sz w:val="24"/>
                <w:szCs w:val="24"/>
              </w:rPr>
              <w:t>(% of Prior 3-Year Avg. Expenditures)</w:t>
            </w:r>
          </w:p>
        </w:tc>
      </w:tr>
      <w:tr w:rsidR="00A71367" w:rsidRPr="00BA773E" w:rsidTr="0035075B">
        <w:trPr>
          <w:jc w:val="center"/>
        </w:trPr>
        <w:tc>
          <w:tcPr>
            <w:tcW w:w="171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2027</w:t>
            </w:r>
          </w:p>
        </w:tc>
        <w:tc>
          <w:tcPr>
            <w:tcW w:w="435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180%</w:t>
            </w:r>
          </w:p>
        </w:tc>
      </w:tr>
      <w:tr w:rsidR="00A71367" w:rsidRPr="00BA773E" w:rsidTr="0035075B">
        <w:trPr>
          <w:jc w:val="center"/>
        </w:trPr>
        <w:tc>
          <w:tcPr>
            <w:tcW w:w="171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2028</w:t>
            </w:r>
          </w:p>
        </w:tc>
        <w:tc>
          <w:tcPr>
            <w:tcW w:w="435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175%</w:t>
            </w:r>
          </w:p>
        </w:tc>
      </w:tr>
      <w:tr w:rsidR="00A71367" w:rsidRPr="00BA773E" w:rsidTr="0035075B">
        <w:trPr>
          <w:jc w:val="center"/>
        </w:trPr>
        <w:tc>
          <w:tcPr>
            <w:tcW w:w="171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2029</w:t>
            </w:r>
          </w:p>
        </w:tc>
        <w:tc>
          <w:tcPr>
            <w:tcW w:w="435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170%</w:t>
            </w:r>
          </w:p>
        </w:tc>
      </w:tr>
      <w:tr w:rsidR="00A71367" w:rsidRPr="00BA773E" w:rsidTr="0035075B">
        <w:trPr>
          <w:jc w:val="center"/>
        </w:trPr>
        <w:tc>
          <w:tcPr>
            <w:tcW w:w="171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2030</w:t>
            </w:r>
          </w:p>
        </w:tc>
        <w:tc>
          <w:tcPr>
            <w:tcW w:w="435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165%</w:t>
            </w:r>
          </w:p>
        </w:tc>
      </w:tr>
      <w:tr w:rsidR="00A71367" w:rsidRPr="00BA773E" w:rsidTr="0035075B">
        <w:trPr>
          <w:jc w:val="center"/>
        </w:trPr>
        <w:tc>
          <w:tcPr>
            <w:tcW w:w="171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2031+</w:t>
            </w:r>
          </w:p>
        </w:tc>
        <w:tc>
          <w:tcPr>
            <w:tcW w:w="4350" w:type="dxa"/>
            <w:vAlign w:val="center"/>
            <w:hideMark/>
          </w:tcPr>
          <w:p w:rsidR="00A71367" w:rsidRPr="00BA773E" w:rsidRDefault="00A71367" w:rsidP="00B25919">
            <w:pPr>
              <w:spacing w:after="0" w:line="240" w:lineRule="auto"/>
              <w:jc w:val="center"/>
              <w:rPr>
                <w:rFonts w:eastAsia="Times New Roman" w:cstheme="minorHAnsi"/>
                <w:sz w:val="24"/>
                <w:szCs w:val="24"/>
              </w:rPr>
            </w:pPr>
            <w:r w:rsidRPr="00BA773E">
              <w:rPr>
                <w:rFonts w:eastAsia="Times New Roman" w:cstheme="minorHAnsi"/>
                <w:color w:val="000000"/>
                <w:sz w:val="24"/>
                <w:szCs w:val="24"/>
              </w:rPr>
              <w:t>160%</w:t>
            </w:r>
          </w:p>
        </w:tc>
      </w:tr>
    </w:tbl>
    <w:p w:rsidR="00FD40AF" w:rsidRPr="00B42314" w:rsidRDefault="005D5508" w:rsidP="00B42314">
      <w:pPr>
        <w:numPr>
          <w:ilvl w:val="0"/>
          <w:numId w:val="9"/>
        </w:numPr>
        <w:spacing w:after="0" w:line="240" w:lineRule="auto"/>
        <w:textAlignment w:val="baseline"/>
        <w:rPr>
          <w:rFonts w:eastAsia="Times New Roman" w:cstheme="minorHAnsi"/>
          <w:b/>
          <w:bCs/>
          <w:color w:val="000000"/>
          <w:sz w:val="24"/>
          <w:szCs w:val="24"/>
        </w:rPr>
      </w:pPr>
      <w:r w:rsidRPr="00BA773E">
        <w:rPr>
          <w:rFonts w:eastAsia="Times New Roman" w:cstheme="minorHAnsi"/>
          <w:b/>
          <w:bCs/>
          <w:color w:val="000000"/>
          <w:sz w:val="24"/>
          <w:szCs w:val="24"/>
        </w:rPr>
        <w:t xml:space="preserve">Management </w:t>
      </w:r>
      <w:r w:rsidR="00A71367" w:rsidRPr="00BA773E">
        <w:rPr>
          <w:rFonts w:eastAsia="Times New Roman" w:cstheme="minorHAnsi"/>
          <w:b/>
          <w:bCs/>
          <w:color w:val="000000"/>
          <w:sz w:val="24"/>
          <w:szCs w:val="24"/>
        </w:rPr>
        <w:t>Levy Restrictions</w:t>
      </w:r>
      <w:r w:rsidR="00FD40AF" w:rsidRPr="00BA773E">
        <w:rPr>
          <w:rFonts w:eastAsia="Times New Roman" w:cstheme="minorHAnsi"/>
          <w:b/>
          <w:bCs/>
          <w:color w:val="000000"/>
          <w:sz w:val="24"/>
          <w:szCs w:val="24"/>
        </w:rPr>
        <w:t xml:space="preserve"> and </w:t>
      </w:r>
      <w:r w:rsidRPr="00BA773E">
        <w:rPr>
          <w:rFonts w:eastAsia="Times New Roman" w:cstheme="minorHAnsi"/>
          <w:b/>
          <w:bCs/>
          <w:color w:val="000000"/>
          <w:sz w:val="24"/>
          <w:szCs w:val="24"/>
        </w:rPr>
        <w:t>Oversight</w:t>
      </w:r>
      <w:r w:rsidR="00A71367" w:rsidRPr="00BA773E">
        <w:rPr>
          <w:rFonts w:eastAsia="Times New Roman" w:cstheme="minorHAnsi"/>
          <w:b/>
          <w:bCs/>
          <w:color w:val="000000"/>
          <w:sz w:val="24"/>
          <w:szCs w:val="24"/>
        </w:rPr>
        <w:t>:</w:t>
      </w:r>
      <w:r w:rsidR="00A71367" w:rsidRPr="00B42314">
        <w:rPr>
          <w:rFonts w:eastAsia="Times New Roman" w:cstheme="minorHAnsi"/>
          <w:b/>
          <w:bCs/>
          <w:color w:val="000000"/>
          <w:sz w:val="24"/>
          <w:szCs w:val="24"/>
        </w:rPr>
        <w:t xml:space="preserve"> </w:t>
      </w:r>
    </w:p>
    <w:p w:rsidR="00A71367" w:rsidRPr="00BA773E" w:rsidRDefault="00A71367" w:rsidP="00B42314">
      <w:pPr>
        <w:numPr>
          <w:ilvl w:val="0"/>
          <w:numId w:val="10"/>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Review Process:</w:t>
      </w:r>
      <w:r w:rsidRPr="00BA773E">
        <w:rPr>
          <w:rFonts w:eastAsia="Times New Roman" w:cstheme="minorHAnsi"/>
          <w:color w:val="000000"/>
          <w:sz w:val="24"/>
          <w:szCs w:val="24"/>
        </w:rPr>
        <w:t xml:space="preserve"> The School Budget Review Committee (SBRC) will evaluate fund balances annually and determine appropriate actions to enforce compliance.</w:t>
      </w:r>
    </w:p>
    <w:p w:rsidR="005D5508" w:rsidRPr="00BA773E" w:rsidRDefault="00A71367" w:rsidP="00B42314">
      <w:pPr>
        <w:numPr>
          <w:ilvl w:val="0"/>
          <w:numId w:val="10"/>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lastRenderedPageBreak/>
        <w:t>Fund Balance Limits:</w:t>
      </w:r>
      <w:r w:rsidRPr="00BA773E">
        <w:rPr>
          <w:rFonts w:eastAsia="Times New Roman" w:cstheme="minorHAnsi"/>
          <w:color w:val="000000"/>
          <w:sz w:val="24"/>
          <w:szCs w:val="24"/>
        </w:rPr>
        <w:t xml:space="preserve"> Establishes limits on school district management levy fund balances to prevent excessive reserves.</w:t>
      </w:r>
    </w:p>
    <w:p w:rsidR="005D5508" w:rsidRPr="00BA773E" w:rsidRDefault="005D5508" w:rsidP="00B42314">
      <w:pPr>
        <w:numPr>
          <w:ilvl w:val="0"/>
          <w:numId w:val="10"/>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Use of Excess Funds:</w:t>
      </w:r>
      <w:r w:rsidRPr="00BA773E">
        <w:rPr>
          <w:rFonts w:eastAsia="Times New Roman" w:cstheme="minorHAnsi"/>
          <w:color w:val="000000"/>
          <w:sz w:val="24"/>
          <w:szCs w:val="24"/>
        </w:rPr>
        <w:t xml:space="preserve"> Districts with excessive balances are required to spend down reserves before levying additional taxes.</w:t>
      </w:r>
    </w:p>
    <w:p w:rsidR="00A71367" w:rsidRPr="00BA773E" w:rsidRDefault="007054E5" w:rsidP="00B42314">
      <w:pPr>
        <w:spacing w:after="0" w:line="240" w:lineRule="auto"/>
        <w:rPr>
          <w:rFonts w:eastAsia="Times New Roman" w:cstheme="minorHAnsi"/>
          <w:sz w:val="24"/>
          <w:szCs w:val="24"/>
        </w:rPr>
      </w:pPr>
      <w:r>
        <w:rPr>
          <w:rFonts w:eastAsia="Times New Roman" w:cstheme="minorHAnsi"/>
          <w:sz w:val="24"/>
          <w:szCs w:val="24"/>
        </w:rPr>
        <w:pict>
          <v:rect id="_x0000_i1029" style="width:0;height:1.5pt" o:hralign="center" o:hrstd="t" o:hr="t" fillcolor="#a0a0a0" stroked="f"/>
        </w:pict>
      </w:r>
    </w:p>
    <w:p w:rsidR="00666B50" w:rsidRPr="00666B50" w:rsidRDefault="00666B50" w:rsidP="00666B50">
      <w:pPr>
        <w:spacing w:after="0" w:line="240" w:lineRule="auto"/>
        <w:rPr>
          <w:rFonts w:eastAsia="Times New Roman" w:cstheme="minorHAnsi"/>
          <w:bCs/>
          <w:color w:val="000000"/>
          <w:sz w:val="24"/>
          <w:szCs w:val="24"/>
        </w:rPr>
      </w:pPr>
    </w:p>
    <w:p w:rsidR="00A71367" w:rsidRPr="006B460B" w:rsidRDefault="00A71367" w:rsidP="00B42314">
      <w:pPr>
        <w:spacing w:after="0" w:line="240" w:lineRule="auto"/>
        <w:rPr>
          <w:rFonts w:eastAsia="Times New Roman" w:cstheme="minorHAnsi"/>
          <w:szCs w:val="24"/>
        </w:rPr>
      </w:pPr>
      <w:r w:rsidRPr="006B460B">
        <w:rPr>
          <w:rFonts w:eastAsia="Times New Roman" w:cstheme="minorHAnsi"/>
          <w:b/>
          <w:bCs/>
          <w:color w:val="000000"/>
          <w:sz w:val="32"/>
          <w:szCs w:val="36"/>
        </w:rPr>
        <w:t>Division VI: Homestead and Other Property Tax Credits</w:t>
      </w:r>
    </w:p>
    <w:p w:rsidR="00A71367" w:rsidRPr="00BA773E" w:rsidRDefault="00A71367" w:rsidP="00B42314">
      <w:pPr>
        <w:numPr>
          <w:ilvl w:val="0"/>
          <w:numId w:val="11"/>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Homestead Credit Phase-Out:</w:t>
      </w:r>
      <w:r w:rsidRPr="00BA773E">
        <w:rPr>
          <w:rFonts w:eastAsia="Times New Roman" w:cstheme="minorHAnsi"/>
          <w:color w:val="000000"/>
          <w:sz w:val="24"/>
          <w:szCs w:val="24"/>
        </w:rPr>
        <w:t xml:space="preserve"> gradually reduces and eventually eliminates the general homestead credit, except for disabled veterans, by 2029.</w:t>
      </w:r>
    </w:p>
    <w:p w:rsidR="00A71367" w:rsidRPr="00BA773E" w:rsidRDefault="00A71367" w:rsidP="00B42314">
      <w:pPr>
        <w:numPr>
          <w:ilvl w:val="0"/>
          <w:numId w:val="12"/>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Homestead Exemption Expansion:</w:t>
      </w:r>
      <w:r w:rsidRPr="00BA773E">
        <w:rPr>
          <w:rFonts w:eastAsia="Times New Roman" w:cstheme="minorHAnsi"/>
          <w:color w:val="000000"/>
          <w:sz w:val="24"/>
          <w:szCs w:val="24"/>
        </w:rPr>
        <w:t xml:space="preserve"> Replaces the homestead credit with an increased exemption that does not require the homeowner to be 65 or older.</w:t>
      </w:r>
    </w:p>
    <w:p w:rsidR="00A71367" w:rsidRPr="00BA773E" w:rsidRDefault="00A71367" w:rsidP="00B42314">
      <w:pPr>
        <w:numPr>
          <w:ilvl w:val="0"/>
          <w:numId w:val="13"/>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Disabled Veteran Homestead Credit Adjustments:</w:t>
      </w:r>
      <w:r w:rsidRPr="00BA773E">
        <w:rPr>
          <w:rFonts w:eastAsia="Times New Roman" w:cstheme="minorHAnsi"/>
          <w:color w:val="000000"/>
          <w:sz w:val="24"/>
          <w:szCs w:val="24"/>
        </w:rPr>
        <w:t xml:space="preserve"> moves the disabled veteran homestead credit under a new code section and limits future applications to properties of half an acre or less.</w:t>
      </w:r>
    </w:p>
    <w:p w:rsidR="00A71367" w:rsidRPr="00BA773E" w:rsidRDefault="00A71367" w:rsidP="00B42314">
      <w:pPr>
        <w:numPr>
          <w:ilvl w:val="0"/>
          <w:numId w:val="13"/>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State Reimbursement Changes:</w:t>
      </w:r>
      <w:r w:rsidRPr="00BA773E">
        <w:rPr>
          <w:rFonts w:eastAsia="Times New Roman" w:cstheme="minorHAnsi"/>
          <w:color w:val="000000"/>
          <w:sz w:val="24"/>
          <w:szCs w:val="24"/>
        </w:rPr>
        <w:t xml:space="preserve"> </w:t>
      </w:r>
      <w:r w:rsidR="005D5508" w:rsidRPr="00BA773E">
        <w:rPr>
          <w:rFonts w:eastAsia="Times New Roman" w:cstheme="minorHAnsi"/>
          <w:color w:val="000000"/>
          <w:sz w:val="24"/>
          <w:szCs w:val="24"/>
        </w:rPr>
        <w:t>requires the state to</w:t>
      </w:r>
      <w:r w:rsidRPr="00BA773E">
        <w:rPr>
          <w:rFonts w:eastAsia="Times New Roman" w:cstheme="minorHAnsi"/>
          <w:color w:val="000000"/>
          <w:sz w:val="24"/>
          <w:szCs w:val="24"/>
        </w:rPr>
        <w:t xml:space="preserve"> continue reimbursing local governments for the homestead credit but not for the homestead exemption.</w:t>
      </w:r>
    </w:p>
    <w:p w:rsidR="005D5508" w:rsidRPr="00B42314" w:rsidRDefault="00A71367" w:rsidP="00B42314">
      <w:pPr>
        <w:numPr>
          <w:ilvl w:val="0"/>
          <w:numId w:val="13"/>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Implementation:</w:t>
      </w:r>
      <w:r w:rsidRPr="00BA773E">
        <w:rPr>
          <w:rFonts w:eastAsia="Times New Roman" w:cstheme="minorHAnsi"/>
          <w:color w:val="000000"/>
          <w:sz w:val="24"/>
          <w:szCs w:val="24"/>
        </w:rPr>
        <w:t xml:space="preserve"> These changes apply to assessment years beginning on or after January 1, 2026.</w:t>
      </w:r>
    </w:p>
    <w:p w:rsidR="0090324C" w:rsidRPr="00BA773E" w:rsidRDefault="0090324C" w:rsidP="00B42314">
      <w:pPr>
        <w:numPr>
          <w:ilvl w:val="0"/>
          <w:numId w:val="1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School District Property Tax Relief Fund:</w:t>
      </w:r>
      <w:r w:rsidRPr="00BA773E">
        <w:rPr>
          <w:rFonts w:eastAsia="Times New Roman" w:cstheme="minorHAnsi"/>
          <w:color w:val="000000"/>
          <w:sz w:val="24"/>
          <w:szCs w:val="24"/>
        </w:rPr>
        <w:t xml:space="preserve"> Phases out by FY 2030.</w:t>
      </w:r>
    </w:p>
    <w:p w:rsidR="00A71367" w:rsidRPr="00BA773E" w:rsidRDefault="00A71367" w:rsidP="00B42314">
      <w:pPr>
        <w:numPr>
          <w:ilvl w:val="0"/>
          <w:numId w:val="14"/>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Secure an Advanced Vision for Education (SAVE) Fund Adjustments:</w:t>
      </w:r>
    </w:p>
    <w:p w:rsidR="00A71367" w:rsidRPr="00BA773E" w:rsidRDefault="00A71367" w:rsidP="00B42314">
      <w:pPr>
        <w:numPr>
          <w:ilvl w:val="1"/>
          <w:numId w:val="14"/>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The SAVE fund will no longer be used for property tax relief transfers after FY 2030.</w:t>
      </w:r>
    </w:p>
    <w:p w:rsidR="00A71367" w:rsidRPr="00BA773E" w:rsidRDefault="00A71367" w:rsidP="00B42314">
      <w:pPr>
        <w:numPr>
          <w:ilvl w:val="1"/>
          <w:numId w:val="14"/>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The equity transfer percentage, which determined how much of the SAVE fund was transferred to property tax relief, is eliminated.</w:t>
      </w:r>
    </w:p>
    <w:p w:rsidR="00A71367" w:rsidRPr="00BA773E" w:rsidRDefault="00A71367" w:rsidP="00B42314">
      <w:pPr>
        <w:numPr>
          <w:ilvl w:val="1"/>
          <w:numId w:val="14"/>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All remaining funds in the SAVE fund at the end of FY 2029 will be redirected to either the general fund or remain in the SAVE fund for infrastructure projects.</w:t>
      </w:r>
    </w:p>
    <w:p w:rsidR="00A71367" w:rsidRPr="00BA773E" w:rsidRDefault="00A71367" w:rsidP="00B42314">
      <w:pPr>
        <w:numPr>
          <w:ilvl w:val="1"/>
          <w:numId w:val="14"/>
        </w:numPr>
        <w:spacing w:after="0" w:line="240" w:lineRule="auto"/>
        <w:textAlignment w:val="baseline"/>
        <w:rPr>
          <w:rFonts w:eastAsia="Times New Roman" w:cstheme="minorHAnsi"/>
          <w:color w:val="000000"/>
          <w:sz w:val="20"/>
          <w:szCs w:val="20"/>
        </w:rPr>
      </w:pPr>
      <w:r w:rsidRPr="00BA773E">
        <w:rPr>
          <w:rFonts w:eastAsia="Times New Roman" w:cstheme="minorHAnsi"/>
          <w:color w:val="000000"/>
          <w:sz w:val="24"/>
          <w:szCs w:val="24"/>
        </w:rPr>
        <w:t>Future SAVE funds will be fully dedicated to school infrastructure and technology improvements, with no additional transfers to property tax relief programs.</w:t>
      </w:r>
    </w:p>
    <w:p w:rsidR="00666B50" w:rsidRPr="00666B50" w:rsidRDefault="00666B50" w:rsidP="00666B50">
      <w:pPr>
        <w:spacing w:after="0" w:line="240" w:lineRule="auto"/>
        <w:rPr>
          <w:rFonts w:eastAsia="Times New Roman" w:cstheme="minorHAnsi"/>
          <w:bCs/>
          <w:color w:val="000000"/>
          <w:sz w:val="24"/>
          <w:szCs w:val="24"/>
        </w:rPr>
      </w:pPr>
    </w:p>
    <w:p w:rsidR="00A71367" w:rsidRPr="00BA773E" w:rsidRDefault="007054E5" w:rsidP="00B42314">
      <w:pPr>
        <w:spacing w:after="0" w:line="240" w:lineRule="auto"/>
        <w:rPr>
          <w:rFonts w:eastAsia="Times New Roman" w:cstheme="minorHAnsi"/>
          <w:sz w:val="24"/>
          <w:szCs w:val="24"/>
        </w:rPr>
      </w:pPr>
      <w:r>
        <w:rPr>
          <w:rFonts w:eastAsia="Times New Roman" w:cstheme="minorHAnsi"/>
          <w:sz w:val="24"/>
          <w:szCs w:val="24"/>
        </w:rPr>
        <w:pict>
          <v:rect id="_x0000_i1030" style="width:0;height:1.5pt" o:hralign="center" o:hrstd="t" o:hr="t" fillcolor="#a0a0a0" stroked="f"/>
        </w:pict>
      </w:r>
    </w:p>
    <w:p w:rsidR="00666B50" w:rsidRPr="00666B50" w:rsidRDefault="00666B50" w:rsidP="00B42314">
      <w:pPr>
        <w:spacing w:after="0" w:line="240" w:lineRule="auto"/>
        <w:rPr>
          <w:rFonts w:eastAsia="Times New Roman" w:cstheme="minorHAnsi"/>
          <w:bCs/>
          <w:color w:val="000000"/>
          <w:sz w:val="24"/>
          <w:szCs w:val="24"/>
        </w:rPr>
      </w:pPr>
    </w:p>
    <w:p w:rsidR="00A71367" w:rsidRPr="006B460B" w:rsidRDefault="00A71367" w:rsidP="00B42314">
      <w:pPr>
        <w:spacing w:after="0" w:line="240" w:lineRule="auto"/>
        <w:rPr>
          <w:rFonts w:eastAsia="Times New Roman" w:cstheme="minorHAnsi"/>
          <w:szCs w:val="24"/>
        </w:rPr>
      </w:pPr>
      <w:r w:rsidRPr="006B460B">
        <w:rPr>
          <w:rFonts w:eastAsia="Times New Roman" w:cstheme="minorHAnsi"/>
          <w:b/>
          <w:bCs/>
          <w:color w:val="000000"/>
          <w:sz w:val="32"/>
          <w:szCs w:val="36"/>
        </w:rPr>
        <w:t>Division VII: Effective Dates and Applicability</w:t>
      </w:r>
    </w:p>
    <w:p w:rsidR="00A71367" w:rsidRPr="00BA773E" w:rsidRDefault="00A71367" w:rsidP="00B42314">
      <w:pPr>
        <w:numPr>
          <w:ilvl w:val="0"/>
          <w:numId w:val="20"/>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January 1, 2026:</w:t>
      </w:r>
      <w:r w:rsidRPr="00BA773E">
        <w:rPr>
          <w:rFonts w:eastAsia="Times New Roman" w:cstheme="minorHAnsi"/>
          <w:color w:val="000000"/>
          <w:sz w:val="24"/>
          <w:szCs w:val="24"/>
        </w:rPr>
        <w:t xml:space="preserve"> Most property tax changes take effect, impacting FY 2026 budgets.</w:t>
      </w:r>
    </w:p>
    <w:p w:rsidR="00A71367" w:rsidRPr="00BA773E" w:rsidRDefault="00A71367" w:rsidP="00B42314">
      <w:pPr>
        <w:numPr>
          <w:ilvl w:val="0"/>
          <w:numId w:val="20"/>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January 1, 2025:</w:t>
      </w:r>
      <w:r w:rsidRPr="00BA773E">
        <w:rPr>
          <w:rFonts w:eastAsia="Times New Roman" w:cstheme="minorHAnsi"/>
          <w:color w:val="000000"/>
          <w:sz w:val="24"/>
          <w:szCs w:val="24"/>
        </w:rPr>
        <w:t xml:space="preserve"> Property assessment changes begin a year earlier to allow for a transition period.</w:t>
      </w:r>
    </w:p>
    <w:p w:rsidR="00A71367" w:rsidRPr="00BA773E" w:rsidRDefault="00A71367" w:rsidP="00B42314">
      <w:pPr>
        <w:numPr>
          <w:ilvl w:val="0"/>
          <w:numId w:val="20"/>
        </w:numPr>
        <w:spacing w:after="0" w:line="240" w:lineRule="auto"/>
        <w:textAlignment w:val="baseline"/>
        <w:rPr>
          <w:rFonts w:eastAsia="Times New Roman" w:cstheme="minorHAnsi"/>
          <w:color w:val="000000"/>
          <w:sz w:val="20"/>
          <w:szCs w:val="20"/>
        </w:rPr>
      </w:pPr>
      <w:r w:rsidRPr="00BA773E">
        <w:rPr>
          <w:rFonts w:eastAsia="Times New Roman" w:cstheme="minorHAnsi"/>
          <w:b/>
          <w:bCs/>
          <w:color w:val="000000"/>
          <w:sz w:val="24"/>
          <w:szCs w:val="24"/>
        </w:rPr>
        <w:t>Retroactive Adjustments:</w:t>
      </w:r>
      <w:r w:rsidRPr="00BA773E">
        <w:rPr>
          <w:rFonts w:eastAsia="Times New Roman" w:cstheme="minorHAnsi"/>
          <w:color w:val="000000"/>
          <w:sz w:val="24"/>
          <w:szCs w:val="24"/>
        </w:rPr>
        <w:t xml:space="preserve"> Certain tax credits and levies may be applied retroactively.</w:t>
      </w:r>
    </w:p>
    <w:p w:rsidR="00666B50" w:rsidRPr="00666B50" w:rsidRDefault="00666B50" w:rsidP="00666B50">
      <w:pPr>
        <w:spacing w:after="0" w:line="240" w:lineRule="auto"/>
        <w:ind w:left="360"/>
        <w:rPr>
          <w:rFonts w:eastAsia="Times New Roman" w:cstheme="minorHAnsi"/>
          <w:bCs/>
          <w:color w:val="000000"/>
          <w:sz w:val="24"/>
          <w:szCs w:val="24"/>
        </w:rPr>
      </w:pPr>
    </w:p>
    <w:p w:rsidR="00A71367" w:rsidRPr="00BA773E" w:rsidRDefault="007054E5" w:rsidP="00B42314">
      <w:pPr>
        <w:spacing w:after="0" w:line="240" w:lineRule="auto"/>
        <w:rPr>
          <w:rFonts w:eastAsia="Times New Roman" w:cstheme="minorHAnsi"/>
          <w:sz w:val="24"/>
          <w:szCs w:val="24"/>
        </w:rPr>
      </w:pPr>
      <w:r>
        <w:rPr>
          <w:rFonts w:eastAsia="Times New Roman" w:cstheme="minorHAnsi"/>
          <w:sz w:val="24"/>
          <w:szCs w:val="24"/>
        </w:rPr>
        <w:pict>
          <v:rect id="_x0000_i1031" style="width:0;height:1.5pt" o:hralign="center" o:hrstd="t" o:hr="t" fillcolor="#a0a0a0" stroked="f"/>
        </w:pict>
      </w:r>
    </w:p>
    <w:p w:rsidR="00A71367" w:rsidRPr="00BA773E" w:rsidRDefault="00A71367" w:rsidP="00B42314">
      <w:pPr>
        <w:spacing w:after="0" w:line="240" w:lineRule="auto"/>
        <w:rPr>
          <w:rFonts w:cstheme="minorHAnsi"/>
        </w:rPr>
      </w:pPr>
    </w:p>
    <w:sectPr w:rsidR="00A71367" w:rsidRPr="00BA773E" w:rsidSect="001641E8">
      <w:footerReference w:type="default" r:id="rId12"/>
      <w:headerReference w:type="first" r:id="rId13"/>
      <w:footerReference w:type="first" r:id="rId14"/>
      <w:pgSz w:w="12240" w:h="15840"/>
      <w:pgMar w:top="1440" w:right="1440" w:bottom="144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E5" w:rsidRDefault="007054E5" w:rsidP="00A57BDD">
      <w:pPr>
        <w:spacing w:after="0" w:line="240" w:lineRule="auto"/>
      </w:pPr>
      <w:r>
        <w:separator/>
      </w:r>
    </w:p>
  </w:endnote>
  <w:endnote w:type="continuationSeparator" w:id="0">
    <w:p w:rsidR="007054E5" w:rsidRDefault="007054E5" w:rsidP="00A5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E8" w:rsidRPr="001641E8" w:rsidRDefault="001641E8" w:rsidP="001641E8">
    <w:pPr>
      <w:pStyle w:val="Header"/>
      <w:jc w:val="right"/>
      <w:rPr>
        <w:sz w:val="16"/>
        <w:szCs w:val="16"/>
      </w:rPr>
    </w:pPr>
    <w:r w:rsidRPr="001641E8">
      <w:rPr>
        <w:sz w:val="16"/>
        <w:szCs w:val="16"/>
      </w:rPr>
      <w:t>DRAFT Notes &amp; Analysis by ISFIS - Work in Progress 3/7/2025</w:t>
    </w:r>
    <w:r>
      <w:rPr>
        <w:sz w:val="16"/>
        <w:szCs w:val="16"/>
      </w:rPr>
      <w:tab/>
    </w:r>
    <w:r>
      <w:rPr>
        <w:sz w:val="16"/>
        <w:szCs w:val="16"/>
      </w:rPr>
      <w:tab/>
    </w:r>
    <w:sdt>
      <w:sdtPr>
        <w:id w:val="-1069261038"/>
        <w:docPartObj>
          <w:docPartGallery w:val="Page Numbers (Top of Page)"/>
          <w:docPartUnique/>
        </w:docPartObj>
      </w:sdtPr>
      <w:sdtEndPr>
        <w:rPr>
          <w:noProof/>
          <w:sz w:val="16"/>
          <w:szCs w:val="16"/>
        </w:rPr>
      </w:sdtEndPr>
      <w:sdtContent>
        <w:r w:rsidRPr="00A57BDD">
          <w:rPr>
            <w:sz w:val="16"/>
            <w:szCs w:val="16"/>
          </w:rPr>
          <w:fldChar w:fldCharType="begin"/>
        </w:r>
        <w:r w:rsidRPr="00A57BDD">
          <w:rPr>
            <w:sz w:val="16"/>
            <w:szCs w:val="16"/>
          </w:rPr>
          <w:instrText xml:space="preserve"> PAGE   \* MERGEFORMAT </w:instrText>
        </w:r>
        <w:r w:rsidRPr="00A57BDD">
          <w:rPr>
            <w:sz w:val="16"/>
            <w:szCs w:val="16"/>
          </w:rPr>
          <w:fldChar w:fldCharType="separate"/>
        </w:r>
        <w:r w:rsidR="005902F1">
          <w:rPr>
            <w:noProof/>
            <w:sz w:val="16"/>
            <w:szCs w:val="16"/>
          </w:rPr>
          <w:t>5</w:t>
        </w:r>
        <w:r w:rsidRPr="00A57BDD">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DD" w:rsidRPr="00402372" w:rsidRDefault="00A57BDD" w:rsidP="00A57BDD">
    <w:pPr>
      <w:pStyle w:val="Footer"/>
      <w:jc w:val="center"/>
      <w:rPr>
        <w:sz w:val="20"/>
        <w:szCs w:val="20"/>
      </w:rPr>
    </w:pPr>
    <w:r w:rsidRPr="00402372">
      <w:rPr>
        <w:sz w:val="20"/>
        <w:szCs w:val="20"/>
      </w:rPr>
      <w:t>_________________</w:t>
    </w:r>
  </w:p>
  <w:p w:rsidR="00A57BDD" w:rsidRDefault="00A57BDD" w:rsidP="00A57BDD">
    <w:pPr>
      <w:pStyle w:val="Footer"/>
      <w:jc w:val="center"/>
    </w:pPr>
    <w:r w:rsidRPr="00402372">
      <w:rPr>
        <w:sz w:val="20"/>
        <w:szCs w:val="20"/>
      </w:rPr>
      <w:t>Iowa School Finance Information Services (ISFIS)</w:t>
    </w:r>
    <w:r w:rsidRPr="00402372">
      <w:rPr>
        <w:sz w:val="20"/>
        <w:szCs w:val="20"/>
      </w:rPr>
      <w:br/>
      <w:t>1201 63</w:t>
    </w:r>
    <w:r w:rsidRPr="00402372">
      <w:rPr>
        <w:sz w:val="20"/>
        <w:szCs w:val="20"/>
        <w:vertAlign w:val="superscript"/>
      </w:rPr>
      <w:t>rd</w:t>
    </w:r>
    <w:r w:rsidRPr="00402372">
      <w:rPr>
        <w:sz w:val="20"/>
        <w:szCs w:val="20"/>
      </w:rPr>
      <w:t xml:space="preserve"> Street, Des Moines, IA 50311 | </w:t>
    </w:r>
    <w:hyperlink r:id="rId1" w:history="1">
      <w:r w:rsidRPr="00402372">
        <w:rPr>
          <w:rStyle w:val="Hyperlink"/>
          <w:sz w:val="20"/>
          <w:szCs w:val="20"/>
        </w:rPr>
        <w:t>www.iowaschoolfinance.com</w:t>
      </w:r>
    </w:hyperlink>
    <w:r w:rsidRPr="00402372">
      <w:rPr>
        <w:sz w:val="20"/>
        <w:szCs w:val="20"/>
      </w:rPr>
      <w:t xml:space="preserve"> | (515) 251</w:t>
    </w:r>
    <w:r>
      <w:rPr>
        <w:sz w:val="20"/>
        <w:szCs w:val="20"/>
      </w:rPr>
      <w:t>-</w:t>
    </w:r>
    <w:r w:rsidRPr="00402372">
      <w:rPr>
        <w:sz w:val="20"/>
        <w:szCs w:val="20"/>
      </w:rPr>
      <w:t>5970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E5" w:rsidRDefault="007054E5" w:rsidP="00A57BDD">
      <w:pPr>
        <w:spacing w:after="0" w:line="240" w:lineRule="auto"/>
      </w:pPr>
      <w:r>
        <w:separator/>
      </w:r>
    </w:p>
  </w:footnote>
  <w:footnote w:type="continuationSeparator" w:id="0">
    <w:p w:rsidR="007054E5" w:rsidRDefault="007054E5" w:rsidP="00A5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DD" w:rsidRDefault="00A57BDD">
    <w:pPr>
      <w:pStyle w:val="Header"/>
    </w:pPr>
    <w:r w:rsidRPr="004E5A97">
      <w:rPr>
        <w:rFonts w:ascii="Arial" w:hAnsi="Arial" w:cs="Arial"/>
        <w:noProof/>
        <w:sz w:val="18"/>
      </w:rPr>
      <w:drawing>
        <wp:anchor distT="0" distB="0" distL="114300" distR="114300" simplePos="0" relativeHeight="251661312" behindDoc="1" locked="0" layoutInCell="1" allowOverlap="1" wp14:anchorId="29E384DD" wp14:editId="186CCC6F">
          <wp:simplePos x="0" y="0"/>
          <wp:positionH relativeFrom="margin">
            <wp:posOffset>-220980</wp:posOffset>
          </wp:positionH>
          <wp:positionV relativeFrom="paragraph">
            <wp:posOffset>-175260</wp:posOffset>
          </wp:positionV>
          <wp:extent cx="1489075" cy="63246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907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7F3"/>
    <w:multiLevelType w:val="multilevel"/>
    <w:tmpl w:val="515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96541"/>
    <w:multiLevelType w:val="multilevel"/>
    <w:tmpl w:val="6278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41CFC"/>
    <w:multiLevelType w:val="multilevel"/>
    <w:tmpl w:val="6C08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03713"/>
    <w:multiLevelType w:val="multilevel"/>
    <w:tmpl w:val="282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65EB2"/>
    <w:multiLevelType w:val="multilevel"/>
    <w:tmpl w:val="5852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306B6"/>
    <w:multiLevelType w:val="multilevel"/>
    <w:tmpl w:val="4644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31D1A"/>
    <w:multiLevelType w:val="multilevel"/>
    <w:tmpl w:val="5696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14E64"/>
    <w:multiLevelType w:val="multilevel"/>
    <w:tmpl w:val="365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14AB5"/>
    <w:multiLevelType w:val="multilevel"/>
    <w:tmpl w:val="894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F7C20"/>
    <w:multiLevelType w:val="multilevel"/>
    <w:tmpl w:val="4B381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C403E"/>
    <w:multiLevelType w:val="multilevel"/>
    <w:tmpl w:val="B4F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657062"/>
    <w:multiLevelType w:val="multilevel"/>
    <w:tmpl w:val="6DEE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B40F0"/>
    <w:multiLevelType w:val="hybridMultilevel"/>
    <w:tmpl w:val="F068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27FBD"/>
    <w:multiLevelType w:val="multilevel"/>
    <w:tmpl w:val="A686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A285B"/>
    <w:multiLevelType w:val="multilevel"/>
    <w:tmpl w:val="F090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90922"/>
    <w:multiLevelType w:val="multilevel"/>
    <w:tmpl w:val="0E14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E1A08"/>
    <w:multiLevelType w:val="multilevel"/>
    <w:tmpl w:val="DA62A3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7ADA3EF1"/>
    <w:multiLevelType w:val="multilevel"/>
    <w:tmpl w:val="B11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6"/>
  </w:num>
  <w:num w:numId="4">
    <w:abstractNumId w:val="8"/>
  </w:num>
  <w:num w:numId="5">
    <w:abstractNumId w:val="7"/>
  </w:num>
  <w:num w:numId="6">
    <w:abstractNumId w:val="1"/>
  </w:num>
  <w:num w:numId="7">
    <w:abstractNumId w:val="1"/>
    <w:lvlOverride w:ilvl="1">
      <w:lvl w:ilvl="1">
        <w:numFmt w:val="bullet"/>
        <w:lvlText w:val=""/>
        <w:lvlJc w:val="left"/>
        <w:pPr>
          <w:tabs>
            <w:tab w:val="num" w:pos="1440"/>
          </w:tabs>
          <w:ind w:left="1440" w:hanging="360"/>
        </w:pPr>
        <w:rPr>
          <w:rFonts w:ascii="Symbol" w:hAnsi="Symbol" w:hint="default"/>
          <w:sz w:val="20"/>
        </w:rPr>
      </w:lvl>
    </w:lvlOverride>
  </w:num>
  <w:num w:numId="8">
    <w:abstractNumId w:val="3"/>
  </w:num>
  <w:num w:numId="9">
    <w:abstractNumId w:val="10"/>
  </w:num>
  <w:num w:numId="10">
    <w:abstractNumId w:val="16"/>
  </w:num>
  <w:num w:numId="11">
    <w:abstractNumId w:val="0"/>
  </w:num>
  <w:num w:numId="12">
    <w:abstractNumId w:val="15"/>
  </w:num>
  <w:num w:numId="13">
    <w:abstractNumId w:val="4"/>
  </w:num>
  <w:num w:numId="14">
    <w:abstractNumId w:val="4"/>
    <w:lvlOverride w:ilvl="1">
      <w:lvl w:ilvl="1">
        <w:numFmt w:val="bullet"/>
        <w:lvlText w:val=""/>
        <w:lvlJc w:val="left"/>
        <w:pPr>
          <w:tabs>
            <w:tab w:val="num" w:pos="1440"/>
          </w:tabs>
          <w:ind w:left="1440" w:hanging="360"/>
        </w:pPr>
        <w:rPr>
          <w:rFonts w:ascii="Symbol" w:hAnsi="Symbol" w:hint="default"/>
          <w:sz w:val="20"/>
        </w:rPr>
      </w:lvl>
    </w:lvlOverride>
  </w:num>
  <w:num w:numId="15">
    <w:abstractNumId w:val="2"/>
  </w:num>
  <w:num w:numId="16">
    <w:abstractNumId w:val="9"/>
  </w:num>
  <w:num w:numId="17">
    <w:abstractNumId w:val="9"/>
    <w:lvlOverride w:ilvl="1">
      <w:lvl w:ilvl="1">
        <w:numFmt w:val="bullet"/>
        <w:lvlText w:val=""/>
        <w:lvlJc w:val="left"/>
        <w:pPr>
          <w:tabs>
            <w:tab w:val="num" w:pos="1440"/>
          </w:tabs>
          <w:ind w:left="1440" w:hanging="360"/>
        </w:pPr>
        <w:rPr>
          <w:rFonts w:ascii="Symbol" w:hAnsi="Symbol" w:hint="default"/>
          <w:sz w:val="20"/>
        </w:rPr>
      </w:lvl>
    </w:lvlOverride>
  </w:num>
  <w:num w:numId="18">
    <w:abstractNumId w:val="5"/>
  </w:num>
  <w:num w:numId="19">
    <w:abstractNumId w:val="11"/>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7A"/>
    <w:rsid w:val="00055B23"/>
    <w:rsid w:val="0013121F"/>
    <w:rsid w:val="001641E8"/>
    <w:rsid w:val="002221C5"/>
    <w:rsid w:val="00246187"/>
    <w:rsid w:val="0035075B"/>
    <w:rsid w:val="00397782"/>
    <w:rsid w:val="003A46E1"/>
    <w:rsid w:val="00487E20"/>
    <w:rsid w:val="00522E5C"/>
    <w:rsid w:val="00557113"/>
    <w:rsid w:val="005902F1"/>
    <w:rsid w:val="005C6752"/>
    <w:rsid w:val="005D5508"/>
    <w:rsid w:val="005D73AB"/>
    <w:rsid w:val="0064401E"/>
    <w:rsid w:val="00666B50"/>
    <w:rsid w:val="006B460B"/>
    <w:rsid w:val="006F51E0"/>
    <w:rsid w:val="007054E5"/>
    <w:rsid w:val="007977A0"/>
    <w:rsid w:val="00884F8D"/>
    <w:rsid w:val="008A0781"/>
    <w:rsid w:val="008B36A2"/>
    <w:rsid w:val="0090324C"/>
    <w:rsid w:val="009B5D7A"/>
    <w:rsid w:val="00A57BDD"/>
    <w:rsid w:val="00A71367"/>
    <w:rsid w:val="00B25919"/>
    <w:rsid w:val="00B2660B"/>
    <w:rsid w:val="00B42314"/>
    <w:rsid w:val="00B776B1"/>
    <w:rsid w:val="00BA773E"/>
    <w:rsid w:val="00BC589D"/>
    <w:rsid w:val="00BE1E8E"/>
    <w:rsid w:val="00E7293A"/>
    <w:rsid w:val="00F170E2"/>
    <w:rsid w:val="00FD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BB0E"/>
  <w15:chartTrackingRefBased/>
  <w15:docId w15:val="{72A8444D-5632-4787-A29C-9FAABB92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D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5D7A"/>
    <w:rPr>
      <w:color w:val="0000FF"/>
      <w:u w:val="single"/>
    </w:rPr>
  </w:style>
  <w:style w:type="character" w:customStyle="1" w:styleId="UnresolvedMention1">
    <w:name w:val="Unresolved Mention1"/>
    <w:basedOn w:val="DefaultParagraphFont"/>
    <w:uiPriority w:val="99"/>
    <w:semiHidden/>
    <w:unhideWhenUsed/>
    <w:rsid w:val="00884F8D"/>
    <w:rPr>
      <w:color w:val="605E5C"/>
      <w:shd w:val="clear" w:color="auto" w:fill="E1DFDD"/>
    </w:rPr>
  </w:style>
  <w:style w:type="paragraph" w:styleId="ListParagraph">
    <w:name w:val="List Paragraph"/>
    <w:basedOn w:val="Normal"/>
    <w:uiPriority w:val="34"/>
    <w:qFormat/>
    <w:rsid w:val="005D5508"/>
    <w:pPr>
      <w:ind w:left="720"/>
      <w:contextualSpacing/>
    </w:pPr>
  </w:style>
  <w:style w:type="paragraph" w:styleId="Header">
    <w:name w:val="header"/>
    <w:basedOn w:val="Normal"/>
    <w:link w:val="HeaderChar"/>
    <w:uiPriority w:val="99"/>
    <w:unhideWhenUsed/>
    <w:rsid w:val="00A57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BDD"/>
  </w:style>
  <w:style w:type="paragraph" w:styleId="Footer">
    <w:name w:val="footer"/>
    <w:basedOn w:val="Normal"/>
    <w:link w:val="FooterChar"/>
    <w:uiPriority w:val="99"/>
    <w:unhideWhenUsed/>
    <w:rsid w:val="00A57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BDD"/>
  </w:style>
  <w:style w:type="paragraph" w:styleId="BalloonText">
    <w:name w:val="Balloon Text"/>
    <w:basedOn w:val="Normal"/>
    <w:link w:val="BalloonTextChar"/>
    <w:uiPriority w:val="99"/>
    <w:semiHidden/>
    <w:unhideWhenUsed/>
    <w:rsid w:val="00397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782"/>
    <w:rPr>
      <w:rFonts w:ascii="Segoe UI" w:hAnsi="Segoe UI" w:cs="Segoe UI"/>
      <w:sz w:val="18"/>
      <w:szCs w:val="18"/>
    </w:rPr>
  </w:style>
  <w:style w:type="character" w:customStyle="1" w:styleId="UnresolvedMention">
    <w:name w:val="Unresolved Mention"/>
    <w:basedOn w:val="DefaultParagraphFont"/>
    <w:uiPriority w:val="99"/>
    <w:semiHidden/>
    <w:unhideWhenUsed/>
    <w:rsid w:val="00350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52167">
      <w:bodyDiv w:val="1"/>
      <w:marLeft w:val="0"/>
      <w:marRight w:val="0"/>
      <w:marTop w:val="0"/>
      <w:marBottom w:val="0"/>
      <w:divBdr>
        <w:top w:val="none" w:sz="0" w:space="0" w:color="auto"/>
        <w:left w:val="none" w:sz="0" w:space="0" w:color="auto"/>
        <w:bottom w:val="none" w:sz="0" w:space="0" w:color="auto"/>
        <w:right w:val="none" w:sz="0" w:space="0" w:color="auto"/>
      </w:divBdr>
    </w:div>
    <w:div w:id="679742479">
      <w:bodyDiv w:val="1"/>
      <w:marLeft w:val="0"/>
      <w:marRight w:val="0"/>
      <w:marTop w:val="0"/>
      <w:marBottom w:val="0"/>
      <w:divBdr>
        <w:top w:val="none" w:sz="0" w:space="0" w:color="auto"/>
        <w:left w:val="none" w:sz="0" w:space="0" w:color="auto"/>
        <w:bottom w:val="none" w:sz="0" w:space="0" w:color="auto"/>
        <w:right w:val="none" w:sz="0" w:space="0" w:color="auto"/>
      </w:divBdr>
    </w:div>
    <w:div w:id="1810512880">
      <w:bodyDiv w:val="1"/>
      <w:marLeft w:val="0"/>
      <w:marRight w:val="0"/>
      <w:marTop w:val="0"/>
      <w:marBottom w:val="0"/>
      <w:divBdr>
        <w:top w:val="none" w:sz="0" w:space="0" w:color="auto"/>
        <w:left w:val="none" w:sz="0" w:space="0" w:color="auto"/>
        <w:bottom w:val="none" w:sz="0" w:space="0" w:color="auto"/>
        <w:right w:val="none" w:sz="0" w:space="0" w:color="auto"/>
      </w:divBdr>
    </w:div>
    <w:div w:id="183051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ba=SSB%201208&amp;ga=9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o13.com/news/politics/iowa-politics/iowa-republicans-release-bill-that-looks-to-overhaul-property-tax-syst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owacapitaldispatch.com/2025/03/06/gop-tax-committee-chairs-introduce-property-tax-legislation/" TargetMode="External"/><Relationship Id="rId4" Type="http://schemas.openxmlformats.org/officeDocument/2006/relationships/settings" Target="settings.xml"/><Relationship Id="rId9" Type="http://schemas.openxmlformats.org/officeDocument/2006/relationships/hyperlink" Target="https://www.legis.iowa.gov/legislation/BillBook?ba=HSB%20313&amp;ga=9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DC5DA-A802-402B-991C-E85F1178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dcterms:created xsi:type="dcterms:W3CDTF">2025-03-07T22:03:00Z</dcterms:created>
  <dcterms:modified xsi:type="dcterms:W3CDTF">2025-03-07T22:03:00Z</dcterms:modified>
</cp:coreProperties>
</file>